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04" w:rsidRDefault="009D3F04" w:rsidP="005C3675">
      <w:pPr>
        <w:spacing w:after="0" w:line="240" w:lineRule="auto"/>
        <w:jc w:val="center"/>
        <w:rPr>
          <w:rFonts w:asciiTheme="majorHAnsi" w:hAnsiTheme="majorHAnsi"/>
          <w:b/>
        </w:rPr>
      </w:pPr>
      <w:r>
        <w:rPr>
          <w:rFonts w:asciiTheme="majorHAnsi" w:hAnsiTheme="majorHAnsi"/>
          <w:b/>
        </w:rPr>
        <w:t xml:space="preserve">Appendix A - </w:t>
      </w:r>
      <w:r w:rsidR="005C3675" w:rsidRPr="005C3675">
        <w:rPr>
          <w:rFonts w:asciiTheme="majorHAnsi" w:hAnsiTheme="majorHAnsi"/>
          <w:b/>
        </w:rPr>
        <w:t xml:space="preserve">PROPOSED </w:t>
      </w:r>
      <w:r w:rsidR="00514B4B">
        <w:rPr>
          <w:rFonts w:asciiTheme="majorHAnsi" w:hAnsiTheme="majorHAnsi"/>
          <w:b/>
        </w:rPr>
        <w:t xml:space="preserve">MINIMUM </w:t>
      </w:r>
      <w:r w:rsidR="005C3675" w:rsidRPr="005C3675">
        <w:rPr>
          <w:rFonts w:asciiTheme="majorHAnsi" w:hAnsiTheme="majorHAnsi"/>
          <w:b/>
        </w:rPr>
        <w:t xml:space="preserve">FREQUENTLY ASK QUESTIONS </w:t>
      </w:r>
    </w:p>
    <w:p w:rsidR="000724A9" w:rsidRPr="005C3675" w:rsidRDefault="005C3675" w:rsidP="005C3675">
      <w:pPr>
        <w:spacing w:after="0" w:line="240" w:lineRule="auto"/>
        <w:jc w:val="center"/>
        <w:rPr>
          <w:rFonts w:asciiTheme="majorHAnsi" w:hAnsiTheme="majorHAnsi"/>
          <w:b/>
        </w:rPr>
      </w:pPr>
      <w:r w:rsidRPr="005C3675">
        <w:rPr>
          <w:rFonts w:asciiTheme="majorHAnsi" w:hAnsiTheme="majorHAnsi"/>
          <w:b/>
        </w:rPr>
        <w:t>ON THE SINGLE PRICE CONVENTION</w:t>
      </w:r>
      <w:r w:rsidR="005D2A5A">
        <w:rPr>
          <w:rFonts w:asciiTheme="majorHAnsi" w:hAnsiTheme="majorHAnsi"/>
          <w:b/>
        </w:rPr>
        <w:t xml:space="preserve"> </w:t>
      </w:r>
    </w:p>
    <w:p w:rsidR="005C3675" w:rsidRPr="005C3675" w:rsidRDefault="005C3675" w:rsidP="005C3675">
      <w:pPr>
        <w:pBdr>
          <w:bottom w:val="single" w:sz="12" w:space="1" w:color="auto"/>
        </w:pBdr>
        <w:spacing w:after="0" w:line="240" w:lineRule="auto"/>
        <w:jc w:val="center"/>
        <w:rPr>
          <w:rFonts w:asciiTheme="majorHAnsi" w:hAnsiTheme="majorHAnsi"/>
          <w:i/>
        </w:rPr>
      </w:pPr>
      <w:r w:rsidRPr="005C3675">
        <w:rPr>
          <w:rFonts w:asciiTheme="majorHAnsi" w:hAnsiTheme="majorHAnsi"/>
          <w:i/>
        </w:rPr>
        <w:t>Prepared by</w:t>
      </w:r>
    </w:p>
    <w:p w:rsidR="006A1CCD" w:rsidRDefault="005C3675" w:rsidP="005C3675">
      <w:pPr>
        <w:pBdr>
          <w:bottom w:val="single" w:sz="12" w:space="1" w:color="auto"/>
        </w:pBdr>
        <w:spacing w:after="0" w:line="240" w:lineRule="auto"/>
        <w:jc w:val="center"/>
        <w:rPr>
          <w:rFonts w:asciiTheme="majorHAnsi" w:hAnsiTheme="majorHAnsi"/>
          <w:b/>
        </w:rPr>
      </w:pPr>
      <w:r w:rsidRPr="005C3675">
        <w:rPr>
          <w:rFonts w:asciiTheme="majorHAnsi" w:hAnsiTheme="majorHAnsi"/>
          <w:b/>
        </w:rPr>
        <w:t>National Association Securities Broker Salesmen, Inc.</w:t>
      </w:r>
      <w:r>
        <w:rPr>
          <w:rFonts w:asciiTheme="majorHAnsi" w:hAnsiTheme="majorHAnsi"/>
          <w:b/>
        </w:rPr>
        <w:t xml:space="preserve"> (NASBI)</w:t>
      </w:r>
    </w:p>
    <w:p w:rsidR="006A1CCD" w:rsidRDefault="006A1CCD" w:rsidP="00C061CD">
      <w:pPr>
        <w:spacing w:after="0" w:line="240" w:lineRule="auto"/>
        <w:ind w:left="720" w:hanging="720"/>
        <w:jc w:val="both"/>
        <w:rPr>
          <w:rFonts w:asciiTheme="majorHAnsi" w:hAnsiTheme="majorHAnsi"/>
          <w:b/>
        </w:rPr>
      </w:pPr>
    </w:p>
    <w:p w:rsidR="006A1CCD" w:rsidRDefault="006A1CCD" w:rsidP="00C061CD">
      <w:pPr>
        <w:spacing w:after="0" w:line="240" w:lineRule="auto"/>
        <w:ind w:left="720" w:hanging="720"/>
        <w:jc w:val="both"/>
        <w:rPr>
          <w:rFonts w:asciiTheme="majorHAnsi" w:hAnsiTheme="majorHAnsi"/>
          <w:b/>
        </w:rPr>
      </w:pPr>
    </w:p>
    <w:p w:rsidR="005C3675" w:rsidRPr="00C061CD" w:rsidRDefault="005C3675" w:rsidP="00C061CD">
      <w:pPr>
        <w:spacing w:after="0" w:line="240" w:lineRule="auto"/>
        <w:ind w:left="720" w:hanging="720"/>
        <w:jc w:val="both"/>
        <w:rPr>
          <w:rFonts w:asciiTheme="majorHAnsi" w:hAnsiTheme="majorHAnsi"/>
          <w:b/>
        </w:rPr>
      </w:pPr>
      <w:r w:rsidRPr="00C061CD">
        <w:rPr>
          <w:rFonts w:asciiTheme="majorHAnsi" w:hAnsiTheme="majorHAnsi"/>
          <w:b/>
        </w:rPr>
        <w:t>Q:</w:t>
      </w:r>
      <w:r w:rsidRPr="00C061CD">
        <w:rPr>
          <w:rFonts w:asciiTheme="majorHAnsi" w:hAnsiTheme="majorHAnsi"/>
          <w:b/>
        </w:rPr>
        <w:tab/>
        <w:t>What is the Single Price Convention (SPC)?</w:t>
      </w:r>
    </w:p>
    <w:p w:rsidR="00C061CD" w:rsidRDefault="00C061CD" w:rsidP="00C061CD">
      <w:pPr>
        <w:spacing w:after="0" w:line="240" w:lineRule="auto"/>
        <w:ind w:left="720" w:hanging="720"/>
        <w:jc w:val="both"/>
        <w:rPr>
          <w:rFonts w:asciiTheme="majorHAnsi" w:hAnsiTheme="majorHAnsi"/>
        </w:rPr>
      </w:pPr>
    </w:p>
    <w:p w:rsidR="00C061CD" w:rsidRDefault="005C3675" w:rsidP="00C061CD">
      <w:pPr>
        <w:spacing w:after="0" w:line="240" w:lineRule="auto"/>
        <w:ind w:left="720" w:hanging="720"/>
        <w:jc w:val="both"/>
        <w:rPr>
          <w:rFonts w:asciiTheme="majorHAnsi" w:hAnsiTheme="majorHAnsi"/>
        </w:rPr>
      </w:pPr>
      <w:r>
        <w:rPr>
          <w:rFonts w:asciiTheme="majorHAnsi" w:hAnsiTheme="majorHAnsi"/>
        </w:rPr>
        <w:t>A:</w:t>
      </w:r>
      <w:r>
        <w:rPr>
          <w:rFonts w:asciiTheme="majorHAnsi" w:hAnsiTheme="majorHAnsi"/>
        </w:rPr>
        <w:tab/>
        <w:t>The Single Price Convention is a move to standardize the pricing of fixed income securities in the primary and secondary market.  The SPC is spearheaded by the issuing arm of the government, the Bureau of the Treasury (</w:t>
      </w:r>
      <w:proofErr w:type="spellStart"/>
      <w:r>
        <w:rPr>
          <w:rFonts w:asciiTheme="majorHAnsi" w:hAnsiTheme="majorHAnsi"/>
        </w:rPr>
        <w:t>BTr</w:t>
      </w:r>
      <w:proofErr w:type="spellEnd"/>
      <w:r>
        <w:rPr>
          <w:rFonts w:asciiTheme="majorHAnsi" w:hAnsiTheme="majorHAnsi"/>
        </w:rPr>
        <w:t xml:space="preserve">), which aims to adopt the Global Bond Formula (GBF) </w:t>
      </w:r>
      <w:r w:rsidR="00C061CD">
        <w:rPr>
          <w:rFonts w:asciiTheme="majorHAnsi" w:hAnsiTheme="majorHAnsi"/>
        </w:rPr>
        <w:t>pursuant to [</w:t>
      </w:r>
      <w:r w:rsidR="00C061CD" w:rsidRPr="005C3675">
        <w:rPr>
          <w:rFonts w:asciiTheme="majorHAnsi" w:hAnsiTheme="majorHAnsi"/>
          <w:highlight w:val="yellow"/>
        </w:rPr>
        <w:sym w:font="Wingdings" w:char="F09F"/>
      </w:r>
      <w:r w:rsidR="00C061CD">
        <w:rPr>
          <w:rFonts w:asciiTheme="majorHAnsi" w:hAnsiTheme="majorHAnsi"/>
        </w:rPr>
        <w:t>] Memo Circular No. [</w:t>
      </w:r>
      <w:r w:rsidR="00C061CD" w:rsidRPr="005C3675">
        <w:rPr>
          <w:rFonts w:asciiTheme="majorHAnsi" w:hAnsiTheme="majorHAnsi"/>
          <w:highlight w:val="yellow"/>
        </w:rPr>
        <w:sym w:font="Wingdings" w:char="F09F"/>
      </w:r>
      <w:r w:rsidR="00C061CD">
        <w:rPr>
          <w:rFonts w:asciiTheme="majorHAnsi" w:hAnsiTheme="majorHAnsi"/>
        </w:rPr>
        <w:t xml:space="preserve">] </w:t>
      </w:r>
      <w:r>
        <w:rPr>
          <w:rFonts w:asciiTheme="majorHAnsi" w:hAnsiTheme="majorHAnsi"/>
        </w:rPr>
        <w:t xml:space="preserve">for the Philippine Treasury Bonds </w:t>
      </w:r>
      <w:r w:rsidR="00C061CD">
        <w:rPr>
          <w:rFonts w:asciiTheme="majorHAnsi" w:hAnsiTheme="majorHAnsi"/>
        </w:rPr>
        <w:t>and [</w:t>
      </w:r>
      <w:r w:rsidR="00C061CD" w:rsidRPr="005C3675">
        <w:rPr>
          <w:rFonts w:asciiTheme="majorHAnsi" w:hAnsiTheme="majorHAnsi"/>
          <w:highlight w:val="yellow"/>
        </w:rPr>
        <w:sym w:font="Wingdings" w:char="F09F"/>
      </w:r>
      <w:r w:rsidR="00C061CD">
        <w:rPr>
          <w:rFonts w:asciiTheme="majorHAnsi" w:hAnsiTheme="majorHAnsi"/>
        </w:rPr>
        <w:t xml:space="preserve">] Resolution No. </w:t>
      </w:r>
      <w:proofErr w:type="gramStart"/>
      <w:r w:rsidR="00C061CD">
        <w:rPr>
          <w:rFonts w:asciiTheme="majorHAnsi" w:hAnsiTheme="majorHAnsi"/>
        </w:rPr>
        <w:t>[</w:t>
      </w:r>
      <w:r w:rsidR="00C061CD" w:rsidRPr="005C3675">
        <w:rPr>
          <w:rFonts w:asciiTheme="majorHAnsi" w:hAnsiTheme="majorHAnsi"/>
          <w:highlight w:val="yellow"/>
        </w:rPr>
        <w:sym w:font="Wingdings" w:char="F09F"/>
      </w:r>
      <w:r w:rsidR="00C061CD">
        <w:rPr>
          <w:rFonts w:asciiTheme="majorHAnsi" w:hAnsiTheme="majorHAnsi"/>
        </w:rPr>
        <w:t>] for listed corporate bonds.</w:t>
      </w:r>
      <w:proofErr w:type="gramEnd"/>
    </w:p>
    <w:p w:rsidR="00C061CD" w:rsidRDefault="00C061CD" w:rsidP="00C061CD">
      <w:pPr>
        <w:spacing w:after="0" w:line="240" w:lineRule="auto"/>
        <w:ind w:left="720" w:hanging="720"/>
        <w:jc w:val="both"/>
        <w:rPr>
          <w:rFonts w:asciiTheme="majorHAnsi" w:hAnsiTheme="majorHAnsi"/>
        </w:rPr>
      </w:pPr>
    </w:p>
    <w:p w:rsidR="00C061CD" w:rsidRPr="00C061CD" w:rsidRDefault="00C061CD" w:rsidP="00C061CD">
      <w:pPr>
        <w:spacing w:after="0" w:line="240" w:lineRule="auto"/>
        <w:ind w:left="720" w:hanging="720"/>
        <w:jc w:val="both"/>
        <w:rPr>
          <w:rFonts w:asciiTheme="majorHAnsi" w:hAnsiTheme="majorHAnsi"/>
          <w:b/>
        </w:rPr>
      </w:pPr>
      <w:r w:rsidRPr="00C061CD">
        <w:rPr>
          <w:rFonts w:asciiTheme="majorHAnsi" w:hAnsiTheme="majorHAnsi"/>
          <w:b/>
        </w:rPr>
        <w:t>Q:</w:t>
      </w:r>
      <w:r w:rsidRPr="00C061CD">
        <w:rPr>
          <w:rFonts w:asciiTheme="majorHAnsi" w:hAnsiTheme="majorHAnsi"/>
          <w:b/>
        </w:rPr>
        <w:tab/>
        <w:t xml:space="preserve">What is </w:t>
      </w:r>
      <w:r w:rsidR="005069B6">
        <w:rPr>
          <w:rFonts w:asciiTheme="majorHAnsi" w:hAnsiTheme="majorHAnsi"/>
          <w:b/>
        </w:rPr>
        <w:t xml:space="preserve">the </w:t>
      </w:r>
      <w:r w:rsidR="00874C6E">
        <w:rPr>
          <w:rFonts w:asciiTheme="majorHAnsi" w:hAnsiTheme="majorHAnsi"/>
          <w:b/>
        </w:rPr>
        <w:t xml:space="preserve">rationale of the </w:t>
      </w:r>
      <w:r w:rsidRPr="00C061CD">
        <w:rPr>
          <w:rFonts w:asciiTheme="majorHAnsi" w:hAnsiTheme="majorHAnsi"/>
          <w:b/>
        </w:rPr>
        <w:t>S</w:t>
      </w:r>
      <w:r w:rsidR="00874C6E">
        <w:rPr>
          <w:rFonts w:asciiTheme="majorHAnsi" w:hAnsiTheme="majorHAnsi"/>
          <w:b/>
        </w:rPr>
        <w:t xml:space="preserve">PC? </w:t>
      </w:r>
    </w:p>
    <w:p w:rsidR="00C061CD" w:rsidRDefault="00C061CD" w:rsidP="00C061CD">
      <w:pPr>
        <w:spacing w:after="0" w:line="240" w:lineRule="auto"/>
        <w:ind w:left="720" w:hanging="720"/>
        <w:jc w:val="both"/>
        <w:rPr>
          <w:rFonts w:asciiTheme="majorHAnsi" w:hAnsiTheme="majorHAnsi"/>
        </w:rPr>
      </w:pPr>
    </w:p>
    <w:p w:rsidR="00C061CD" w:rsidRDefault="00874C6E" w:rsidP="00C061CD">
      <w:pPr>
        <w:spacing w:after="0" w:line="240" w:lineRule="auto"/>
        <w:ind w:left="720" w:hanging="720"/>
        <w:jc w:val="both"/>
        <w:rPr>
          <w:rFonts w:asciiTheme="majorHAnsi" w:hAnsiTheme="majorHAnsi"/>
        </w:rPr>
      </w:pPr>
      <w:r>
        <w:rPr>
          <w:rFonts w:asciiTheme="majorHAnsi" w:hAnsiTheme="majorHAnsi"/>
        </w:rPr>
        <w:t>A:</w:t>
      </w:r>
      <w:r>
        <w:rPr>
          <w:rFonts w:asciiTheme="majorHAnsi" w:hAnsiTheme="majorHAnsi"/>
        </w:rPr>
        <w:tab/>
      </w:r>
      <w:proofErr w:type="spellStart"/>
      <w:r>
        <w:rPr>
          <w:rFonts w:asciiTheme="majorHAnsi" w:hAnsiTheme="majorHAnsi"/>
        </w:rPr>
        <w:t>BTr</w:t>
      </w:r>
      <w:proofErr w:type="spellEnd"/>
      <w:r>
        <w:rPr>
          <w:rFonts w:asciiTheme="majorHAnsi" w:hAnsiTheme="majorHAnsi"/>
        </w:rPr>
        <w:t xml:space="preserve"> Memorandum dated 29 October 2012 </w:t>
      </w:r>
      <w:r w:rsidRPr="00874C6E">
        <w:rPr>
          <w:rFonts w:asciiTheme="majorHAnsi" w:hAnsiTheme="majorHAnsi"/>
          <w:i/>
        </w:rPr>
        <w:t>(see Annex A)</w:t>
      </w:r>
      <w:r>
        <w:rPr>
          <w:rFonts w:asciiTheme="majorHAnsi" w:hAnsiTheme="majorHAnsi"/>
        </w:rPr>
        <w:t xml:space="preserve"> enumerates the foreseen benefits of adopting the SPC</w:t>
      </w:r>
      <w:r w:rsidR="005D2A5A">
        <w:rPr>
          <w:rFonts w:asciiTheme="majorHAnsi" w:hAnsiTheme="majorHAnsi"/>
        </w:rPr>
        <w:t xml:space="preserve"> using the GBF</w:t>
      </w:r>
      <w:r>
        <w:rPr>
          <w:rFonts w:asciiTheme="majorHAnsi" w:hAnsiTheme="majorHAnsi"/>
        </w:rPr>
        <w:t>.  More importantly, this initiative will pave the way for all tax categories to transact with one another thus providing greater market liquidity, a more sustainable secondary market and more competitive prices due to larger number of trading participants.  It will also facilitate the participation of more foreign investors thus preparing the domestic capital market for the regional bond market integration.</w:t>
      </w:r>
    </w:p>
    <w:p w:rsidR="00874C6E" w:rsidRDefault="00874C6E" w:rsidP="00C061CD">
      <w:pPr>
        <w:spacing w:after="0" w:line="240" w:lineRule="auto"/>
        <w:ind w:left="720" w:hanging="720"/>
        <w:jc w:val="both"/>
        <w:rPr>
          <w:rFonts w:asciiTheme="majorHAnsi" w:hAnsiTheme="majorHAnsi"/>
        </w:rPr>
      </w:pPr>
    </w:p>
    <w:p w:rsidR="00874C6E" w:rsidRDefault="00874C6E" w:rsidP="00874C6E">
      <w:pPr>
        <w:spacing w:after="0" w:line="240" w:lineRule="auto"/>
        <w:ind w:left="720" w:hanging="720"/>
        <w:jc w:val="both"/>
        <w:rPr>
          <w:rFonts w:asciiTheme="majorHAnsi" w:hAnsiTheme="majorHAnsi"/>
          <w:b/>
        </w:rPr>
      </w:pPr>
      <w:r w:rsidRPr="00C061CD">
        <w:rPr>
          <w:rFonts w:asciiTheme="majorHAnsi" w:hAnsiTheme="majorHAnsi"/>
          <w:b/>
        </w:rPr>
        <w:t>Q:</w:t>
      </w:r>
      <w:r w:rsidRPr="00C061CD">
        <w:rPr>
          <w:rFonts w:asciiTheme="majorHAnsi" w:hAnsiTheme="majorHAnsi"/>
          <w:b/>
        </w:rPr>
        <w:tab/>
        <w:t xml:space="preserve">What is </w:t>
      </w:r>
      <w:r>
        <w:rPr>
          <w:rFonts w:asciiTheme="majorHAnsi" w:hAnsiTheme="majorHAnsi"/>
          <w:b/>
        </w:rPr>
        <w:t xml:space="preserve">the Global Bond Formula? </w:t>
      </w:r>
    </w:p>
    <w:p w:rsidR="00874C6E" w:rsidRDefault="00874C6E" w:rsidP="00874C6E">
      <w:pPr>
        <w:spacing w:after="0" w:line="240" w:lineRule="auto"/>
        <w:ind w:left="720" w:hanging="720"/>
        <w:jc w:val="both"/>
        <w:rPr>
          <w:rFonts w:asciiTheme="majorHAnsi" w:hAnsiTheme="majorHAnsi"/>
          <w:b/>
        </w:rPr>
      </w:pPr>
    </w:p>
    <w:p w:rsidR="00874C6E" w:rsidRPr="00C061CD" w:rsidRDefault="00874C6E" w:rsidP="00874C6E">
      <w:pPr>
        <w:spacing w:after="0" w:line="240" w:lineRule="auto"/>
        <w:ind w:left="720" w:hanging="720"/>
        <w:jc w:val="both"/>
        <w:rPr>
          <w:rFonts w:asciiTheme="majorHAnsi" w:hAnsiTheme="majorHAnsi"/>
          <w:b/>
        </w:rPr>
      </w:pPr>
      <w:r>
        <w:rPr>
          <w:rFonts w:asciiTheme="majorHAnsi" w:hAnsiTheme="majorHAnsi"/>
        </w:rPr>
        <w:t>A:</w:t>
      </w:r>
      <w:r>
        <w:rPr>
          <w:rFonts w:asciiTheme="majorHAnsi" w:hAnsiTheme="majorHAnsi"/>
        </w:rPr>
        <w:tab/>
        <w:t>As illustrated in Annex A</w:t>
      </w:r>
      <w:r w:rsidR="005D2A5A" w:rsidRPr="005D2A5A">
        <w:rPr>
          <w:rStyle w:val="FootnoteReference"/>
          <w:rFonts w:asciiTheme="majorHAnsi" w:hAnsiTheme="majorHAnsi"/>
        </w:rPr>
        <w:footnoteReference w:id="1"/>
      </w:r>
      <w:r>
        <w:rPr>
          <w:rFonts w:asciiTheme="majorHAnsi" w:hAnsiTheme="majorHAnsi"/>
        </w:rPr>
        <w:t xml:space="preserve">, the GBF is a formula that generates a tax neutral clean price that is applicable to all market participants.  </w:t>
      </w:r>
      <w:r w:rsidR="00273A22">
        <w:rPr>
          <w:rFonts w:asciiTheme="majorHAnsi" w:hAnsiTheme="majorHAnsi"/>
        </w:rPr>
        <w:t xml:space="preserve">To arrive at the settlement </w:t>
      </w:r>
      <w:r w:rsidR="005D2A5A">
        <w:rPr>
          <w:rFonts w:asciiTheme="majorHAnsi" w:hAnsiTheme="majorHAnsi"/>
        </w:rPr>
        <w:t xml:space="preserve">amount </w:t>
      </w:r>
      <w:r w:rsidR="00273A22">
        <w:rPr>
          <w:rFonts w:asciiTheme="majorHAnsi" w:hAnsiTheme="majorHAnsi"/>
        </w:rPr>
        <w:t xml:space="preserve">or cash out, </w:t>
      </w:r>
      <w:r w:rsidR="005D2A5A">
        <w:rPr>
          <w:rFonts w:asciiTheme="majorHAnsi" w:hAnsiTheme="majorHAnsi"/>
        </w:rPr>
        <w:t xml:space="preserve">the </w:t>
      </w:r>
      <w:r w:rsidR="00273A22">
        <w:rPr>
          <w:rFonts w:asciiTheme="majorHAnsi" w:hAnsiTheme="majorHAnsi"/>
        </w:rPr>
        <w:t xml:space="preserve">computation will involve the </w:t>
      </w:r>
      <w:r w:rsidR="005D2A5A">
        <w:rPr>
          <w:rFonts w:asciiTheme="majorHAnsi" w:hAnsiTheme="majorHAnsi"/>
        </w:rPr>
        <w:t>cl</w:t>
      </w:r>
      <w:r w:rsidR="00273A22">
        <w:rPr>
          <w:rFonts w:asciiTheme="majorHAnsi" w:hAnsiTheme="majorHAnsi"/>
        </w:rPr>
        <w:t xml:space="preserve">ean </w:t>
      </w:r>
      <w:r w:rsidR="005D2A5A">
        <w:rPr>
          <w:rFonts w:asciiTheme="majorHAnsi" w:hAnsiTheme="majorHAnsi"/>
        </w:rPr>
        <w:t>pr</w:t>
      </w:r>
      <w:r w:rsidR="00273A22">
        <w:rPr>
          <w:rFonts w:asciiTheme="majorHAnsi" w:hAnsiTheme="majorHAnsi"/>
        </w:rPr>
        <w:t xml:space="preserve">ice plus accrued interest less applicable final withholding tax.  </w:t>
      </w:r>
      <w:r>
        <w:rPr>
          <w:rFonts w:asciiTheme="majorHAnsi" w:hAnsiTheme="majorHAnsi"/>
          <w:b/>
        </w:rPr>
        <w:t xml:space="preserve"> </w:t>
      </w:r>
    </w:p>
    <w:p w:rsidR="00874C6E" w:rsidRDefault="00874C6E" w:rsidP="00C061CD">
      <w:pPr>
        <w:spacing w:after="0" w:line="240" w:lineRule="auto"/>
        <w:ind w:left="720" w:hanging="720"/>
        <w:jc w:val="both"/>
        <w:rPr>
          <w:rFonts w:asciiTheme="majorHAnsi" w:hAnsiTheme="majorHAnsi"/>
        </w:rPr>
      </w:pPr>
    </w:p>
    <w:p w:rsidR="00273A22" w:rsidRDefault="00273A22" w:rsidP="00273A22">
      <w:pPr>
        <w:spacing w:after="0" w:line="240" w:lineRule="auto"/>
        <w:ind w:left="720" w:hanging="720"/>
        <w:jc w:val="both"/>
        <w:rPr>
          <w:rFonts w:asciiTheme="majorHAnsi" w:hAnsiTheme="majorHAnsi"/>
          <w:b/>
        </w:rPr>
      </w:pPr>
      <w:r w:rsidRPr="00C061CD">
        <w:rPr>
          <w:rFonts w:asciiTheme="majorHAnsi" w:hAnsiTheme="majorHAnsi"/>
          <w:b/>
        </w:rPr>
        <w:t>Q:</w:t>
      </w:r>
      <w:r w:rsidRPr="00C061CD">
        <w:rPr>
          <w:rFonts w:asciiTheme="majorHAnsi" w:hAnsiTheme="majorHAnsi"/>
          <w:b/>
        </w:rPr>
        <w:tab/>
        <w:t xml:space="preserve">What is </w:t>
      </w:r>
      <w:r>
        <w:rPr>
          <w:rFonts w:asciiTheme="majorHAnsi" w:hAnsiTheme="majorHAnsi"/>
          <w:b/>
        </w:rPr>
        <w:t xml:space="preserve">the difference between the </w:t>
      </w:r>
      <w:r w:rsidR="005D2A5A">
        <w:rPr>
          <w:rFonts w:asciiTheme="majorHAnsi" w:hAnsiTheme="majorHAnsi"/>
          <w:b/>
        </w:rPr>
        <w:t>O</w:t>
      </w:r>
      <w:r>
        <w:rPr>
          <w:rFonts w:asciiTheme="majorHAnsi" w:hAnsiTheme="majorHAnsi"/>
          <w:b/>
        </w:rPr>
        <w:t xml:space="preserve">ld </w:t>
      </w:r>
      <w:r w:rsidR="005D2A5A">
        <w:rPr>
          <w:rFonts w:asciiTheme="majorHAnsi" w:hAnsiTheme="majorHAnsi"/>
          <w:b/>
        </w:rPr>
        <w:t>B</w:t>
      </w:r>
      <w:r>
        <w:rPr>
          <w:rFonts w:asciiTheme="majorHAnsi" w:hAnsiTheme="majorHAnsi"/>
          <w:b/>
        </w:rPr>
        <w:t xml:space="preserve">ond </w:t>
      </w:r>
      <w:r w:rsidR="005D2A5A">
        <w:rPr>
          <w:rFonts w:asciiTheme="majorHAnsi" w:hAnsiTheme="majorHAnsi"/>
          <w:b/>
        </w:rPr>
        <w:t>C</w:t>
      </w:r>
      <w:r>
        <w:rPr>
          <w:rFonts w:asciiTheme="majorHAnsi" w:hAnsiTheme="majorHAnsi"/>
          <w:b/>
        </w:rPr>
        <w:t xml:space="preserve">omputation and </w:t>
      </w:r>
      <w:r w:rsidR="005D2A5A">
        <w:rPr>
          <w:rFonts w:asciiTheme="majorHAnsi" w:hAnsiTheme="majorHAnsi"/>
          <w:b/>
        </w:rPr>
        <w:t xml:space="preserve">Single Price Convention using </w:t>
      </w:r>
      <w:r>
        <w:rPr>
          <w:rFonts w:asciiTheme="majorHAnsi" w:hAnsiTheme="majorHAnsi"/>
          <w:b/>
        </w:rPr>
        <w:t xml:space="preserve">the Global Bond Formula? </w:t>
      </w:r>
    </w:p>
    <w:p w:rsidR="00273A22" w:rsidRDefault="00273A22" w:rsidP="00273A22">
      <w:pPr>
        <w:spacing w:after="0" w:line="240" w:lineRule="auto"/>
        <w:ind w:left="720" w:hanging="720"/>
        <w:jc w:val="both"/>
        <w:rPr>
          <w:rFonts w:asciiTheme="majorHAnsi" w:hAnsiTheme="majorHAnsi"/>
          <w:b/>
        </w:rPr>
      </w:pPr>
    </w:p>
    <w:p w:rsidR="00E12481" w:rsidRDefault="00273A22" w:rsidP="00273A22">
      <w:pPr>
        <w:spacing w:after="0" w:line="240" w:lineRule="auto"/>
        <w:ind w:left="720" w:hanging="720"/>
        <w:jc w:val="both"/>
        <w:rPr>
          <w:rFonts w:asciiTheme="majorHAnsi" w:hAnsiTheme="majorHAnsi"/>
        </w:rPr>
      </w:pPr>
      <w:r>
        <w:rPr>
          <w:rFonts w:asciiTheme="majorHAnsi" w:hAnsiTheme="majorHAnsi"/>
        </w:rPr>
        <w:t>A:</w:t>
      </w:r>
      <w:r>
        <w:rPr>
          <w:rFonts w:asciiTheme="majorHAnsi" w:hAnsiTheme="majorHAnsi"/>
        </w:rPr>
        <w:tab/>
        <w:t xml:space="preserve">The total </w:t>
      </w:r>
      <w:r w:rsidRPr="005D2A5A">
        <w:rPr>
          <w:rFonts w:asciiTheme="majorHAnsi" w:hAnsiTheme="majorHAnsi"/>
          <w:b/>
        </w:rPr>
        <w:t>settlement amount or cash out</w:t>
      </w:r>
      <w:r>
        <w:rPr>
          <w:rFonts w:asciiTheme="majorHAnsi" w:hAnsiTheme="majorHAnsi"/>
        </w:rPr>
        <w:t xml:space="preserve"> generated using the Reference Yield which is the rate currently used in quoting the local bond market and the settlement amount generated using the Nominal yield used in the GBF </w:t>
      </w:r>
      <w:r w:rsidRPr="005D2A5A">
        <w:rPr>
          <w:rFonts w:asciiTheme="majorHAnsi" w:hAnsiTheme="majorHAnsi"/>
          <w:b/>
        </w:rPr>
        <w:t>remains to be the same</w:t>
      </w:r>
      <w:r>
        <w:rPr>
          <w:rFonts w:asciiTheme="majorHAnsi" w:hAnsiTheme="majorHAnsi"/>
        </w:rPr>
        <w:t xml:space="preserve">.  </w:t>
      </w:r>
      <w:r w:rsidR="00E12481">
        <w:rPr>
          <w:rFonts w:asciiTheme="majorHAnsi" w:hAnsiTheme="majorHAnsi"/>
        </w:rPr>
        <w:t>To illustrate:</w:t>
      </w:r>
    </w:p>
    <w:p w:rsidR="00E12481" w:rsidRDefault="00E12481" w:rsidP="00273A22">
      <w:pPr>
        <w:spacing w:after="0" w:line="240" w:lineRule="auto"/>
        <w:ind w:left="720" w:hanging="720"/>
        <w:jc w:val="both"/>
        <w:rPr>
          <w:rFonts w:asciiTheme="majorHAnsi" w:hAnsiTheme="majorHAnsi"/>
        </w:rPr>
      </w:pPr>
      <w:r>
        <w:rPr>
          <w:rFonts w:asciiTheme="majorHAnsi" w:hAnsiTheme="majorHAnsi"/>
        </w:rPr>
        <w:tab/>
      </w:r>
    </w:p>
    <w:tbl>
      <w:tblPr>
        <w:tblStyle w:val="TableGrid"/>
        <w:tblW w:w="0" w:type="auto"/>
        <w:tblInd w:w="720" w:type="dxa"/>
        <w:tblLook w:val="04A0" w:firstRow="1" w:lastRow="0" w:firstColumn="1" w:lastColumn="0" w:noHBand="0" w:noVBand="1"/>
      </w:tblPr>
      <w:tblGrid>
        <w:gridCol w:w="2988"/>
        <w:gridCol w:w="2985"/>
        <w:gridCol w:w="2883"/>
      </w:tblGrid>
      <w:tr w:rsidR="0002269E" w:rsidTr="0002269E">
        <w:tc>
          <w:tcPr>
            <w:tcW w:w="2988" w:type="dxa"/>
          </w:tcPr>
          <w:p w:rsidR="0002269E" w:rsidRDefault="0002269E" w:rsidP="00273A22">
            <w:pPr>
              <w:jc w:val="both"/>
              <w:rPr>
                <w:rFonts w:asciiTheme="majorHAnsi" w:hAnsiTheme="majorHAnsi"/>
              </w:rPr>
            </w:pPr>
            <w:r>
              <w:rPr>
                <w:rFonts w:asciiTheme="majorHAnsi" w:hAnsiTheme="majorHAnsi"/>
              </w:rPr>
              <w:t>Settlement Date:</w:t>
            </w:r>
          </w:p>
        </w:tc>
        <w:tc>
          <w:tcPr>
            <w:tcW w:w="5868" w:type="dxa"/>
            <w:gridSpan w:val="2"/>
          </w:tcPr>
          <w:p w:rsidR="0002269E" w:rsidRDefault="00CB3989" w:rsidP="00CB3989">
            <w:pPr>
              <w:jc w:val="both"/>
              <w:rPr>
                <w:rFonts w:asciiTheme="majorHAnsi" w:hAnsiTheme="majorHAnsi"/>
              </w:rPr>
            </w:pPr>
            <w:r>
              <w:rPr>
                <w:rFonts w:asciiTheme="majorHAnsi" w:hAnsiTheme="majorHAnsi"/>
              </w:rPr>
              <w:t xml:space="preserve">11 </w:t>
            </w:r>
            <w:r w:rsidR="0002269E">
              <w:rPr>
                <w:rFonts w:asciiTheme="majorHAnsi" w:hAnsiTheme="majorHAnsi"/>
              </w:rPr>
              <w:t>November 2013</w:t>
            </w:r>
          </w:p>
        </w:tc>
      </w:tr>
      <w:tr w:rsidR="0002269E" w:rsidTr="008D63C2">
        <w:tc>
          <w:tcPr>
            <w:tcW w:w="2988" w:type="dxa"/>
          </w:tcPr>
          <w:p w:rsidR="0002269E" w:rsidRDefault="0002269E" w:rsidP="00273A22">
            <w:pPr>
              <w:jc w:val="both"/>
              <w:rPr>
                <w:rFonts w:asciiTheme="majorHAnsi" w:hAnsiTheme="majorHAnsi"/>
              </w:rPr>
            </w:pPr>
            <w:r>
              <w:rPr>
                <w:rFonts w:asciiTheme="majorHAnsi" w:hAnsiTheme="majorHAnsi"/>
              </w:rPr>
              <w:t>PH Treasury Bond Series</w:t>
            </w:r>
          </w:p>
        </w:tc>
        <w:tc>
          <w:tcPr>
            <w:tcW w:w="5868" w:type="dxa"/>
            <w:gridSpan w:val="2"/>
          </w:tcPr>
          <w:p w:rsidR="0002269E" w:rsidRDefault="0002269E" w:rsidP="00273A22">
            <w:pPr>
              <w:jc w:val="both"/>
              <w:rPr>
                <w:rFonts w:asciiTheme="majorHAnsi" w:hAnsiTheme="majorHAnsi"/>
              </w:rPr>
            </w:pPr>
            <w:r>
              <w:rPr>
                <w:rFonts w:asciiTheme="majorHAnsi" w:hAnsiTheme="majorHAnsi"/>
              </w:rPr>
              <w:t>FXTN 20-17</w:t>
            </w:r>
          </w:p>
        </w:tc>
      </w:tr>
      <w:tr w:rsidR="0002269E" w:rsidTr="00CB3989">
        <w:tc>
          <w:tcPr>
            <w:tcW w:w="2988" w:type="dxa"/>
            <w:shd w:val="clear" w:color="auto" w:fill="002060"/>
          </w:tcPr>
          <w:p w:rsidR="0002269E" w:rsidRPr="00CB3989" w:rsidRDefault="0002269E" w:rsidP="00273A22">
            <w:pPr>
              <w:jc w:val="both"/>
              <w:rPr>
                <w:rFonts w:asciiTheme="majorHAnsi" w:hAnsiTheme="majorHAnsi"/>
                <w:color w:val="FFFFFF" w:themeColor="background1"/>
              </w:rPr>
            </w:pPr>
          </w:p>
        </w:tc>
        <w:tc>
          <w:tcPr>
            <w:tcW w:w="2985" w:type="dxa"/>
            <w:shd w:val="clear" w:color="auto" w:fill="002060"/>
          </w:tcPr>
          <w:p w:rsidR="0002269E" w:rsidRPr="00CB3989" w:rsidRDefault="0002269E" w:rsidP="00CB3989">
            <w:pPr>
              <w:jc w:val="center"/>
              <w:rPr>
                <w:rFonts w:asciiTheme="majorHAnsi" w:hAnsiTheme="majorHAnsi"/>
                <w:b/>
                <w:color w:val="FFFFFF" w:themeColor="background1"/>
              </w:rPr>
            </w:pPr>
            <w:r w:rsidRPr="00CB3989">
              <w:rPr>
                <w:rFonts w:asciiTheme="majorHAnsi" w:hAnsiTheme="majorHAnsi"/>
                <w:b/>
                <w:color w:val="FFFFFF" w:themeColor="background1"/>
              </w:rPr>
              <w:t xml:space="preserve">Existing </w:t>
            </w:r>
            <w:r w:rsidR="00CB3989" w:rsidRPr="00CB3989">
              <w:rPr>
                <w:rFonts w:asciiTheme="majorHAnsi" w:hAnsiTheme="majorHAnsi"/>
                <w:b/>
                <w:color w:val="FFFFFF" w:themeColor="background1"/>
              </w:rPr>
              <w:t>Formula</w:t>
            </w:r>
          </w:p>
        </w:tc>
        <w:tc>
          <w:tcPr>
            <w:tcW w:w="2883" w:type="dxa"/>
            <w:shd w:val="clear" w:color="auto" w:fill="002060"/>
          </w:tcPr>
          <w:p w:rsidR="0002269E" w:rsidRPr="00CB3989" w:rsidRDefault="00CB3989" w:rsidP="00CB3989">
            <w:pPr>
              <w:jc w:val="center"/>
              <w:rPr>
                <w:rFonts w:asciiTheme="majorHAnsi" w:hAnsiTheme="majorHAnsi"/>
                <w:b/>
                <w:color w:val="FFFFFF" w:themeColor="background1"/>
              </w:rPr>
            </w:pPr>
            <w:r w:rsidRPr="00CB3989">
              <w:rPr>
                <w:rFonts w:asciiTheme="majorHAnsi" w:hAnsiTheme="majorHAnsi"/>
                <w:b/>
                <w:color w:val="FFFFFF" w:themeColor="background1"/>
              </w:rPr>
              <w:t xml:space="preserve">Global Bond Formula </w:t>
            </w:r>
          </w:p>
        </w:tc>
      </w:tr>
      <w:tr w:rsidR="00CB3989" w:rsidTr="0002269E">
        <w:tc>
          <w:tcPr>
            <w:tcW w:w="2988" w:type="dxa"/>
          </w:tcPr>
          <w:p w:rsidR="00CB3989" w:rsidRDefault="00CB3989" w:rsidP="00273A22">
            <w:pPr>
              <w:jc w:val="both"/>
              <w:rPr>
                <w:rFonts w:asciiTheme="majorHAnsi" w:hAnsiTheme="majorHAnsi"/>
              </w:rPr>
            </w:pPr>
            <w:r>
              <w:rPr>
                <w:rFonts w:asciiTheme="majorHAnsi" w:hAnsiTheme="majorHAnsi"/>
              </w:rPr>
              <w:t>Years</w:t>
            </w:r>
          </w:p>
        </w:tc>
        <w:tc>
          <w:tcPr>
            <w:tcW w:w="2985" w:type="dxa"/>
          </w:tcPr>
          <w:p w:rsidR="00CB3989" w:rsidRDefault="00CB3989" w:rsidP="00CB3989">
            <w:pPr>
              <w:jc w:val="center"/>
              <w:rPr>
                <w:rFonts w:asciiTheme="majorHAnsi" w:hAnsiTheme="majorHAnsi"/>
              </w:rPr>
            </w:pPr>
            <w:r>
              <w:rPr>
                <w:rFonts w:asciiTheme="majorHAnsi" w:hAnsiTheme="majorHAnsi"/>
              </w:rPr>
              <w:t>17.94</w:t>
            </w:r>
          </w:p>
        </w:tc>
        <w:tc>
          <w:tcPr>
            <w:tcW w:w="2883" w:type="dxa"/>
          </w:tcPr>
          <w:p w:rsidR="00CB3989" w:rsidRDefault="00CB3989" w:rsidP="00CB3989">
            <w:pPr>
              <w:jc w:val="center"/>
              <w:rPr>
                <w:rFonts w:asciiTheme="majorHAnsi" w:hAnsiTheme="majorHAnsi"/>
              </w:rPr>
            </w:pPr>
            <w:r>
              <w:rPr>
                <w:rFonts w:asciiTheme="majorHAnsi" w:hAnsiTheme="majorHAnsi"/>
              </w:rPr>
              <w:t>17.94</w:t>
            </w:r>
          </w:p>
        </w:tc>
      </w:tr>
      <w:tr w:rsidR="00CB3989" w:rsidTr="0002269E">
        <w:tc>
          <w:tcPr>
            <w:tcW w:w="2988" w:type="dxa"/>
          </w:tcPr>
          <w:p w:rsidR="00CB3989" w:rsidRDefault="00CB3989" w:rsidP="00273A22">
            <w:pPr>
              <w:jc w:val="both"/>
              <w:rPr>
                <w:rFonts w:asciiTheme="majorHAnsi" w:hAnsiTheme="majorHAnsi"/>
              </w:rPr>
            </w:pPr>
            <w:r>
              <w:rPr>
                <w:rFonts w:asciiTheme="majorHAnsi" w:hAnsiTheme="majorHAnsi"/>
              </w:rPr>
              <w:t>Days Remaining</w:t>
            </w:r>
          </w:p>
        </w:tc>
        <w:tc>
          <w:tcPr>
            <w:tcW w:w="2985" w:type="dxa"/>
          </w:tcPr>
          <w:p w:rsidR="00CB3989" w:rsidRDefault="00CB3989" w:rsidP="00CB3989">
            <w:pPr>
              <w:jc w:val="center"/>
              <w:rPr>
                <w:rFonts w:asciiTheme="majorHAnsi" w:hAnsiTheme="majorHAnsi"/>
              </w:rPr>
            </w:pPr>
            <w:r>
              <w:rPr>
                <w:rFonts w:asciiTheme="majorHAnsi" w:hAnsiTheme="majorHAnsi"/>
              </w:rPr>
              <w:t>6459</w:t>
            </w:r>
          </w:p>
        </w:tc>
        <w:tc>
          <w:tcPr>
            <w:tcW w:w="2883" w:type="dxa"/>
          </w:tcPr>
          <w:p w:rsidR="00CB3989" w:rsidRDefault="00CB3989" w:rsidP="00CB3989">
            <w:pPr>
              <w:jc w:val="center"/>
              <w:rPr>
                <w:rFonts w:asciiTheme="majorHAnsi" w:hAnsiTheme="majorHAnsi"/>
              </w:rPr>
            </w:pPr>
            <w:r>
              <w:rPr>
                <w:rFonts w:asciiTheme="majorHAnsi" w:hAnsiTheme="majorHAnsi"/>
              </w:rPr>
              <w:t>6459</w:t>
            </w:r>
          </w:p>
        </w:tc>
      </w:tr>
      <w:tr w:rsidR="00CB3989" w:rsidTr="0002269E">
        <w:tc>
          <w:tcPr>
            <w:tcW w:w="2988" w:type="dxa"/>
          </w:tcPr>
          <w:p w:rsidR="00CB3989" w:rsidRDefault="00CB3989" w:rsidP="00273A22">
            <w:pPr>
              <w:jc w:val="both"/>
              <w:rPr>
                <w:rFonts w:asciiTheme="majorHAnsi" w:hAnsiTheme="majorHAnsi"/>
              </w:rPr>
            </w:pPr>
            <w:r>
              <w:rPr>
                <w:rFonts w:asciiTheme="majorHAnsi" w:hAnsiTheme="majorHAnsi"/>
              </w:rPr>
              <w:t>Frequency</w:t>
            </w:r>
          </w:p>
        </w:tc>
        <w:tc>
          <w:tcPr>
            <w:tcW w:w="2985" w:type="dxa"/>
          </w:tcPr>
          <w:p w:rsidR="00CB3989" w:rsidRDefault="00CB3989" w:rsidP="00CB3989">
            <w:pPr>
              <w:jc w:val="center"/>
              <w:rPr>
                <w:rFonts w:asciiTheme="majorHAnsi" w:hAnsiTheme="majorHAnsi"/>
              </w:rPr>
            </w:pPr>
            <w:r>
              <w:rPr>
                <w:rFonts w:asciiTheme="majorHAnsi" w:hAnsiTheme="majorHAnsi"/>
              </w:rPr>
              <w:t>2</w:t>
            </w:r>
          </w:p>
        </w:tc>
        <w:tc>
          <w:tcPr>
            <w:tcW w:w="2883" w:type="dxa"/>
          </w:tcPr>
          <w:p w:rsidR="00CB3989" w:rsidRDefault="00CB3989" w:rsidP="00CB3989">
            <w:pPr>
              <w:jc w:val="center"/>
              <w:rPr>
                <w:rFonts w:asciiTheme="majorHAnsi" w:hAnsiTheme="majorHAnsi"/>
              </w:rPr>
            </w:pPr>
            <w:r>
              <w:rPr>
                <w:rFonts w:asciiTheme="majorHAnsi" w:hAnsiTheme="majorHAnsi"/>
              </w:rPr>
              <w:t>2</w:t>
            </w:r>
          </w:p>
        </w:tc>
      </w:tr>
      <w:tr w:rsidR="00CB3989" w:rsidTr="0002269E">
        <w:tc>
          <w:tcPr>
            <w:tcW w:w="2988" w:type="dxa"/>
          </w:tcPr>
          <w:p w:rsidR="00CB3989" w:rsidRDefault="00CB3989" w:rsidP="00273A22">
            <w:pPr>
              <w:jc w:val="both"/>
              <w:rPr>
                <w:rFonts w:asciiTheme="majorHAnsi" w:hAnsiTheme="majorHAnsi"/>
              </w:rPr>
            </w:pPr>
            <w:r>
              <w:rPr>
                <w:rFonts w:asciiTheme="majorHAnsi" w:hAnsiTheme="majorHAnsi"/>
              </w:rPr>
              <w:t>Days Accrued</w:t>
            </w:r>
          </w:p>
        </w:tc>
        <w:tc>
          <w:tcPr>
            <w:tcW w:w="2985" w:type="dxa"/>
          </w:tcPr>
          <w:p w:rsidR="00CB3989" w:rsidRDefault="00CB3989" w:rsidP="00CB3989">
            <w:pPr>
              <w:jc w:val="center"/>
              <w:rPr>
                <w:rFonts w:asciiTheme="majorHAnsi" w:hAnsiTheme="majorHAnsi"/>
              </w:rPr>
            </w:pPr>
            <w:r>
              <w:rPr>
                <w:rFonts w:asciiTheme="majorHAnsi" w:hAnsiTheme="majorHAnsi"/>
              </w:rPr>
              <w:t>112</w:t>
            </w:r>
          </w:p>
        </w:tc>
        <w:tc>
          <w:tcPr>
            <w:tcW w:w="2883" w:type="dxa"/>
          </w:tcPr>
          <w:p w:rsidR="00CB3989" w:rsidRDefault="00CB3989" w:rsidP="00CB3989">
            <w:pPr>
              <w:jc w:val="center"/>
              <w:rPr>
                <w:rFonts w:asciiTheme="majorHAnsi" w:hAnsiTheme="majorHAnsi"/>
              </w:rPr>
            </w:pPr>
            <w:r>
              <w:rPr>
                <w:rFonts w:asciiTheme="majorHAnsi" w:hAnsiTheme="majorHAnsi"/>
              </w:rPr>
              <w:t>112</w:t>
            </w:r>
          </w:p>
        </w:tc>
      </w:tr>
      <w:tr w:rsidR="00CB3989" w:rsidTr="0002269E">
        <w:tc>
          <w:tcPr>
            <w:tcW w:w="2988" w:type="dxa"/>
          </w:tcPr>
          <w:p w:rsidR="00CB3989" w:rsidRDefault="00CB3989" w:rsidP="00273A22">
            <w:pPr>
              <w:jc w:val="both"/>
              <w:rPr>
                <w:rFonts w:asciiTheme="majorHAnsi" w:hAnsiTheme="majorHAnsi"/>
              </w:rPr>
            </w:pPr>
            <w:r>
              <w:rPr>
                <w:rFonts w:asciiTheme="majorHAnsi" w:hAnsiTheme="majorHAnsi"/>
              </w:rPr>
              <w:t>Maturity</w:t>
            </w:r>
          </w:p>
        </w:tc>
        <w:tc>
          <w:tcPr>
            <w:tcW w:w="2985" w:type="dxa"/>
          </w:tcPr>
          <w:p w:rsidR="00CB3989" w:rsidRDefault="00CB3989" w:rsidP="00392BFC">
            <w:pPr>
              <w:jc w:val="center"/>
              <w:rPr>
                <w:rFonts w:asciiTheme="majorHAnsi" w:hAnsiTheme="majorHAnsi"/>
              </w:rPr>
            </w:pPr>
            <w:r>
              <w:rPr>
                <w:rFonts w:asciiTheme="majorHAnsi" w:hAnsiTheme="majorHAnsi"/>
              </w:rPr>
              <w:t>19 July 20</w:t>
            </w:r>
            <w:r w:rsidR="00392BFC">
              <w:rPr>
                <w:rFonts w:asciiTheme="majorHAnsi" w:hAnsiTheme="majorHAnsi"/>
              </w:rPr>
              <w:t>31</w:t>
            </w:r>
          </w:p>
        </w:tc>
        <w:tc>
          <w:tcPr>
            <w:tcW w:w="2883" w:type="dxa"/>
          </w:tcPr>
          <w:p w:rsidR="00CB3989" w:rsidRDefault="00CB3989" w:rsidP="00392BFC">
            <w:pPr>
              <w:jc w:val="center"/>
              <w:rPr>
                <w:rFonts w:asciiTheme="majorHAnsi" w:hAnsiTheme="majorHAnsi"/>
              </w:rPr>
            </w:pPr>
            <w:r>
              <w:rPr>
                <w:rFonts w:asciiTheme="majorHAnsi" w:hAnsiTheme="majorHAnsi"/>
              </w:rPr>
              <w:t>19 July 20</w:t>
            </w:r>
            <w:r w:rsidR="00392BFC">
              <w:rPr>
                <w:rFonts w:asciiTheme="majorHAnsi" w:hAnsiTheme="majorHAnsi"/>
              </w:rPr>
              <w:t>31</w:t>
            </w:r>
          </w:p>
        </w:tc>
      </w:tr>
      <w:tr w:rsidR="00CB3989" w:rsidTr="0002269E">
        <w:tc>
          <w:tcPr>
            <w:tcW w:w="2988" w:type="dxa"/>
          </w:tcPr>
          <w:p w:rsidR="00CB3989" w:rsidRDefault="00CB3989" w:rsidP="00273A22">
            <w:pPr>
              <w:jc w:val="both"/>
              <w:rPr>
                <w:rFonts w:asciiTheme="majorHAnsi" w:hAnsiTheme="majorHAnsi"/>
              </w:rPr>
            </w:pPr>
            <w:r>
              <w:rPr>
                <w:rFonts w:asciiTheme="majorHAnsi" w:hAnsiTheme="majorHAnsi"/>
              </w:rPr>
              <w:t>Coupon</w:t>
            </w:r>
          </w:p>
        </w:tc>
        <w:tc>
          <w:tcPr>
            <w:tcW w:w="2985" w:type="dxa"/>
          </w:tcPr>
          <w:p w:rsidR="00CB3989" w:rsidRDefault="00CB3989" w:rsidP="00CB3989">
            <w:pPr>
              <w:jc w:val="center"/>
              <w:rPr>
                <w:rFonts w:asciiTheme="majorHAnsi" w:hAnsiTheme="majorHAnsi"/>
              </w:rPr>
            </w:pPr>
            <w:r>
              <w:rPr>
                <w:rFonts w:asciiTheme="majorHAnsi" w:hAnsiTheme="majorHAnsi"/>
              </w:rPr>
              <w:t>8.000%</w:t>
            </w:r>
          </w:p>
        </w:tc>
        <w:tc>
          <w:tcPr>
            <w:tcW w:w="2883" w:type="dxa"/>
          </w:tcPr>
          <w:p w:rsidR="00CB3989" w:rsidRDefault="00CB3989" w:rsidP="00CB3989">
            <w:pPr>
              <w:jc w:val="center"/>
              <w:rPr>
                <w:rFonts w:asciiTheme="majorHAnsi" w:hAnsiTheme="majorHAnsi"/>
              </w:rPr>
            </w:pPr>
            <w:r>
              <w:rPr>
                <w:rFonts w:asciiTheme="majorHAnsi" w:hAnsiTheme="majorHAnsi"/>
              </w:rPr>
              <w:t>8.000%</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YTM</w:t>
            </w:r>
          </w:p>
        </w:tc>
        <w:tc>
          <w:tcPr>
            <w:tcW w:w="2985" w:type="dxa"/>
          </w:tcPr>
          <w:p w:rsidR="00CB3989" w:rsidRDefault="00CB3989" w:rsidP="00CB3989">
            <w:pPr>
              <w:jc w:val="center"/>
              <w:rPr>
                <w:rFonts w:asciiTheme="majorHAnsi" w:hAnsiTheme="majorHAnsi"/>
              </w:rPr>
            </w:pPr>
            <w:r>
              <w:rPr>
                <w:rFonts w:asciiTheme="majorHAnsi" w:hAnsiTheme="majorHAnsi"/>
              </w:rPr>
              <w:t>4.000%</w:t>
            </w:r>
          </w:p>
        </w:tc>
        <w:tc>
          <w:tcPr>
            <w:tcW w:w="2883" w:type="dxa"/>
          </w:tcPr>
          <w:p w:rsidR="00CB3989" w:rsidRDefault="00CB3989" w:rsidP="00CB3989">
            <w:pPr>
              <w:jc w:val="center"/>
              <w:rPr>
                <w:rFonts w:asciiTheme="majorHAnsi" w:hAnsiTheme="majorHAnsi"/>
              </w:rPr>
            </w:pPr>
            <w:r>
              <w:rPr>
                <w:rFonts w:asciiTheme="majorHAnsi" w:hAnsiTheme="majorHAnsi"/>
              </w:rPr>
              <w:t>-</w:t>
            </w:r>
          </w:p>
        </w:tc>
      </w:tr>
      <w:tr w:rsidR="00D55A34" w:rsidTr="0002269E">
        <w:tc>
          <w:tcPr>
            <w:tcW w:w="2988" w:type="dxa"/>
          </w:tcPr>
          <w:p w:rsidR="00D55A34" w:rsidRDefault="00D55A34" w:rsidP="00CB3989">
            <w:pPr>
              <w:jc w:val="both"/>
              <w:rPr>
                <w:rFonts w:asciiTheme="majorHAnsi" w:hAnsiTheme="majorHAnsi"/>
              </w:rPr>
            </w:pPr>
            <w:r>
              <w:rPr>
                <w:rFonts w:asciiTheme="majorHAnsi" w:hAnsiTheme="majorHAnsi"/>
              </w:rPr>
              <w:t>Reference Yield</w:t>
            </w:r>
            <w:r w:rsidR="00BB5EB2">
              <w:rPr>
                <w:rStyle w:val="FootnoteReference"/>
                <w:rFonts w:asciiTheme="majorHAnsi" w:hAnsiTheme="majorHAnsi"/>
              </w:rPr>
              <w:footnoteReference w:id="2"/>
            </w:r>
          </w:p>
        </w:tc>
        <w:tc>
          <w:tcPr>
            <w:tcW w:w="2985" w:type="dxa"/>
          </w:tcPr>
          <w:p w:rsidR="00D55A34" w:rsidRDefault="00D55A34" w:rsidP="00CB3989">
            <w:pPr>
              <w:jc w:val="center"/>
              <w:rPr>
                <w:rFonts w:asciiTheme="majorHAnsi" w:hAnsiTheme="majorHAnsi"/>
              </w:rPr>
            </w:pPr>
            <w:r>
              <w:rPr>
                <w:rFonts w:asciiTheme="majorHAnsi" w:hAnsiTheme="majorHAnsi"/>
              </w:rPr>
              <w:t>-</w:t>
            </w:r>
          </w:p>
        </w:tc>
        <w:tc>
          <w:tcPr>
            <w:tcW w:w="2883" w:type="dxa"/>
          </w:tcPr>
          <w:p w:rsidR="00D55A34" w:rsidRDefault="00D55A34" w:rsidP="00CB3989">
            <w:pPr>
              <w:jc w:val="center"/>
              <w:rPr>
                <w:rFonts w:asciiTheme="majorHAnsi" w:hAnsiTheme="majorHAnsi"/>
              </w:rPr>
            </w:pPr>
            <w:r>
              <w:rPr>
                <w:rFonts w:asciiTheme="majorHAnsi" w:hAnsiTheme="majorHAnsi"/>
              </w:rPr>
              <w:t>4.000%</w:t>
            </w:r>
          </w:p>
        </w:tc>
      </w:tr>
      <w:tr w:rsidR="00CB3989" w:rsidTr="0002269E">
        <w:tc>
          <w:tcPr>
            <w:tcW w:w="2988" w:type="dxa"/>
          </w:tcPr>
          <w:p w:rsidR="00CB3989" w:rsidRDefault="00D55A34" w:rsidP="00D55A34">
            <w:pPr>
              <w:jc w:val="both"/>
              <w:rPr>
                <w:rFonts w:asciiTheme="majorHAnsi" w:hAnsiTheme="majorHAnsi"/>
              </w:rPr>
            </w:pPr>
            <w:r>
              <w:rPr>
                <w:rFonts w:asciiTheme="majorHAnsi" w:hAnsiTheme="majorHAnsi"/>
              </w:rPr>
              <w:t>Nominal Yield</w:t>
            </w:r>
          </w:p>
        </w:tc>
        <w:tc>
          <w:tcPr>
            <w:tcW w:w="2985" w:type="dxa"/>
          </w:tcPr>
          <w:p w:rsidR="00CB3989" w:rsidRDefault="00CB3989" w:rsidP="00CB3989">
            <w:pPr>
              <w:jc w:val="center"/>
              <w:rPr>
                <w:rFonts w:asciiTheme="majorHAnsi" w:hAnsiTheme="majorHAnsi"/>
              </w:rPr>
            </w:pPr>
            <w:r>
              <w:rPr>
                <w:rFonts w:asciiTheme="majorHAnsi" w:hAnsiTheme="majorHAnsi"/>
              </w:rPr>
              <w:t>-</w:t>
            </w:r>
          </w:p>
        </w:tc>
        <w:tc>
          <w:tcPr>
            <w:tcW w:w="2883" w:type="dxa"/>
          </w:tcPr>
          <w:p w:rsidR="00CB3989" w:rsidRDefault="00CB3989" w:rsidP="00CB3989">
            <w:pPr>
              <w:jc w:val="center"/>
              <w:rPr>
                <w:rFonts w:asciiTheme="majorHAnsi" w:hAnsiTheme="majorHAnsi"/>
              </w:rPr>
            </w:pPr>
            <w:r>
              <w:rPr>
                <w:rFonts w:asciiTheme="majorHAnsi" w:hAnsiTheme="majorHAnsi"/>
              </w:rPr>
              <w:t>4.4616%</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Face Amount</w:t>
            </w:r>
          </w:p>
        </w:tc>
        <w:tc>
          <w:tcPr>
            <w:tcW w:w="2985" w:type="dxa"/>
          </w:tcPr>
          <w:p w:rsidR="00CB3989" w:rsidRDefault="00CB3989" w:rsidP="00CB3989">
            <w:pPr>
              <w:jc w:val="center"/>
              <w:rPr>
                <w:rFonts w:asciiTheme="majorHAnsi" w:hAnsiTheme="majorHAnsi"/>
              </w:rPr>
            </w:pPr>
            <w:r>
              <w:rPr>
                <w:rFonts w:asciiTheme="majorHAnsi" w:hAnsiTheme="majorHAnsi"/>
              </w:rPr>
              <w:t>50,000,000</w:t>
            </w:r>
          </w:p>
        </w:tc>
        <w:tc>
          <w:tcPr>
            <w:tcW w:w="2883" w:type="dxa"/>
          </w:tcPr>
          <w:p w:rsidR="00CB3989" w:rsidRDefault="00CB3989" w:rsidP="00CB3989">
            <w:pPr>
              <w:jc w:val="center"/>
              <w:rPr>
                <w:rFonts w:asciiTheme="majorHAnsi" w:hAnsiTheme="majorHAnsi"/>
              </w:rPr>
            </w:pPr>
            <w:r>
              <w:rPr>
                <w:rFonts w:asciiTheme="majorHAnsi" w:hAnsiTheme="majorHAnsi"/>
              </w:rPr>
              <w:t>50,000,000</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Gross Price</w:t>
            </w:r>
          </w:p>
        </w:tc>
        <w:tc>
          <w:tcPr>
            <w:tcW w:w="2985" w:type="dxa"/>
          </w:tcPr>
          <w:p w:rsidR="00CB3989" w:rsidRDefault="00CB3989" w:rsidP="00CB3989">
            <w:pPr>
              <w:jc w:val="center"/>
              <w:rPr>
                <w:rFonts w:asciiTheme="majorHAnsi" w:hAnsiTheme="majorHAnsi"/>
              </w:rPr>
            </w:pPr>
            <w:r>
              <w:rPr>
                <w:rFonts w:asciiTheme="majorHAnsi" w:hAnsiTheme="majorHAnsi"/>
              </w:rPr>
              <w:t>150.36</w:t>
            </w:r>
          </w:p>
        </w:tc>
        <w:tc>
          <w:tcPr>
            <w:tcW w:w="2883" w:type="dxa"/>
          </w:tcPr>
          <w:p w:rsidR="00CB3989" w:rsidRDefault="00CB3989" w:rsidP="00CB3989">
            <w:pPr>
              <w:jc w:val="center"/>
              <w:rPr>
                <w:rFonts w:asciiTheme="majorHAnsi" w:hAnsiTheme="majorHAnsi"/>
              </w:rPr>
            </w:pPr>
            <w:r>
              <w:rPr>
                <w:rFonts w:asciiTheme="majorHAnsi" w:hAnsiTheme="majorHAnsi"/>
              </w:rPr>
              <w:t>142.96</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Net Price</w:t>
            </w:r>
            <w:bookmarkStart w:id="0" w:name="_GoBack"/>
            <w:bookmarkEnd w:id="0"/>
          </w:p>
        </w:tc>
        <w:tc>
          <w:tcPr>
            <w:tcW w:w="2985" w:type="dxa"/>
          </w:tcPr>
          <w:p w:rsidR="00CB3989" w:rsidRDefault="00CB3989" w:rsidP="00CB3989">
            <w:pPr>
              <w:jc w:val="center"/>
              <w:rPr>
                <w:rFonts w:asciiTheme="majorHAnsi" w:hAnsiTheme="majorHAnsi"/>
              </w:rPr>
            </w:pPr>
            <w:r>
              <w:rPr>
                <w:rFonts w:asciiTheme="majorHAnsi" w:hAnsiTheme="majorHAnsi"/>
              </w:rPr>
              <w:t>142.96</w:t>
            </w:r>
          </w:p>
        </w:tc>
        <w:tc>
          <w:tcPr>
            <w:tcW w:w="2883" w:type="dxa"/>
          </w:tcPr>
          <w:p w:rsidR="00CB3989" w:rsidRDefault="00CB3989" w:rsidP="00CB3989">
            <w:pPr>
              <w:jc w:val="center"/>
              <w:rPr>
                <w:rFonts w:asciiTheme="majorHAnsi" w:hAnsiTheme="majorHAnsi"/>
              </w:rPr>
            </w:pPr>
            <w:r>
              <w:rPr>
                <w:rFonts w:asciiTheme="majorHAnsi" w:hAnsiTheme="majorHAnsi"/>
              </w:rPr>
              <w:t>136.89</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Gross Value</w:t>
            </w:r>
          </w:p>
        </w:tc>
        <w:tc>
          <w:tcPr>
            <w:tcW w:w="2985" w:type="dxa"/>
          </w:tcPr>
          <w:p w:rsidR="00CB3989" w:rsidRDefault="00CB3989" w:rsidP="00CB3989">
            <w:pPr>
              <w:jc w:val="center"/>
              <w:rPr>
                <w:rFonts w:asciiTheme="majorHAnsi" w:hAnsiTheme="majorHAnsi"/>
              </w:rPr>
            </w:pPr>
            <w:r>
              <w:rPr>
                <w:rFonts w:asciiTheme="majorHAnsi" w:hAnsiTheme="majorHAnsi"/>
              </w:rPr>
              <w:t>75,180,298.05</w:t>
            </w:r>
          </w:p>
        </w:tc>
        <w:tc>
          <w:tcPr>
            <w:tcW w:w="2883" w:type="dxa"/>
          </w:tcPr>
          <w:p w:rsidR="00CB3989" w:rsidRDefault="00CB3989" w:rsidP="00CB3989">
            <w:pPr>
              <w:jc w:val="center"/>
              <w:rPr>
                <w:rFonts w:asciiTheme="majorHAnsi" w:hAnsiTheme="majorHAnsi"/>
              </w:rPr>
            </w:pPr>
            <w:r>
              <w:rPr>
                <w:rFonts w:asciiTheme="majorHAnsi" w:hAnsiTheme="majorHAnsi"/>
              </w:rPr>
              <w:t>71,481,188.39</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Net Value</w:t>
            </w:r>
          </w:p>
        </w:tc>
        <w:tc>
          <w:tcPr>
            <w:tcW w:w="2985" w:type="dxa"/>
          </w:tcPr>
          <w:p w:rsidR="00CB3989" w:rsidRDefault="00CB3989" w:rsidP="00CB3989">
            <w:pPr>
              <w:jc w:val="center"/>
              <w:rPr>
                <w:rFonts w:asciiTheme="majorHAnsi" w:hAnsiTheme="majorHAnsi"/>
              </w:rPr>
            </w:pPr>
            <w:r>
              <w:rPr>
                <w:rFonts w:asciiTheme="majorHAnsi" w:hAnsiTheme="majorHAnsi"/>
              </w:rPr>
              <w:t>71,481,188.39</w:t>
            </w:r>
          </w:p>
        </w:tc>
        <w:tc>
          <w:tcPr>
            <w:tcW w:w="2883" w:type="dxa"/>
          </w:tcPr>
          <w:p w:rsidR="00CB3989" w:rsidRDefault="00CB3989" w:rsidP="00CB3989">
            <w:pPr>
              <w:jc w:val="center"/>
              <w:rPr>
                <w:rFonts w:asciiTheme="majorHAnsi" w:hAnsiTheme="majorHAnsi"/>
              </w:rPr>
            </w:pPr>
            <w:r>
              <w:rPr>
                <w:rFonts w:asciiTheme="majorHAnsi" w:hAnsiTheme="majorHAnsi"/>
              </w:rPr>
              <w:t>68,442,613.40</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Tax on Premium/Discount</w:t>
            </w:r>
          </w:p>
        </w:tc>
        <w:tc>
          <w:tcPr>
            <w:tcW w:w="2985" w:type="dxa"/>
          </w:tcPr>
          <w:p w:rsidR="00CB3989" w:rsidRDefault="00CB3989" w:rsidP="00CB3989">
            <w:pPr>
              <w:jc w:val="center"/>
              <w:rPr>
                <w:rFonts w:asciiTheme="majorHAnsi" w:hAnsiTheme="majorHAnsi"/>
              </w:rPr>
            </w:pPr>
            <w:r>
              <w:rPr>
                <w:rFonts w:asciiTheme="majorHAnsi" w:hAnsiTheme="majorHAnsi"/>
              </w:rPr>
              <w:t>(3,699,109.66)</w:t>
            </w:r>
          </w:p>
        </w:tc>
        <w:tc>
          <w:tcPr>
            <w:tcW w:w="2883" w:type="dxa"/>
          </w:tcPr>
          <w:p w:rsidR="00CB3989" w:rsidRDefault="00CB3989" w:rsidP="00CB3989">
            <w:pPr>
              <w:jc w:val="center"/>
              <w:rPr>
                <w:rFonts w:asciiTheme="majorHAnsi" w:hAnsiTheme="majorHAnsi"/>
              </w:rPr>
            </w:pPr>
            <w:r>
              <w:rPr>
                <w:rFonts w:asciiTheme="majorHAnsi" w:hAnsiTheme="majorHAnsi"/>
              </w:rPr>
              <w:t>-</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Accrued Interest</w:t>
            </w:r>
          </w:p>
        </w:tc>
        <w:tc>
          <w:tcPr>
            <w:tcW w:w="2985" w:type="dxa"/>
          </w:tcPr>
          <w:p w:rsidR="00CB3989" w:rsidRDefault="00CB3989" w:rsidP="00CB3989">
            <w:pPr>
              <w:jc w:val="center"/>
              <w:rPr>
                <w:rFonts w:asciiTheme="majorHAnsi" w:hAnsiTheme="majorHAnsi"/>
              </w:rPr>
            </w:pPr>
            <w:r>
              <w:rPr>
                <w:rFonts w:asciiTheme="majorHAnsi" w:hAnsiTheme="majorHAnsi"/>
              </w:rPr>
              <w:t>1,244,444.44</w:t>
            </w:r>
          </w:p>
        </w:tc>
        <w:tc>
          <w:tcPr>
            <w:tcW w:w="2883" w:type="dxa"/>
          </w:tcPr>
          <w:p w:rsidR="00CB3989" w:rsidRDefault="00CB3989" w:rsidP="00CB3989">
            <w:pPr>
              <w:jc w:val="center"/>
              <w:rPr>
                <w:rFonts w:asciiTheme="majorHAnsi" w:hAnsiTheme="majorHAnsi"/>
              </w:rPr>
            </w:pPr>
            <w:r>
              <w:rPr>
                <w:rFonts w:asciiTheme="majorHAnsi" w:hAnsiTheme="majorHAnsi"/>
              </w:rPr>
              <w:t>1,244,444.44</w:t>
            </w:r>
          </w:p>
        </w:tc>
      </w:tr>
      <w:tr w:rsidR="00CB3989" w:rsidTr="0002269E">
        <w:tc>
          <w:tcPr>
            <w:tcW w:w="2988" w:type="dxa"/>
          </w:tcPr>
          <w:p w:rsidR="00CB3989" w:rsidRDefault="00CB3989" w:rsidP="00CB3989">
            <w:pPr>
              <w:jc w:val="both"/>
              <w:rPr>
                <w:rFonts w:asciiTheme="majorHAnsi" w:hAnsiTheme="majorHAnsi"/>
              </w:rPr>
            </w:pPr>
            <w:r>
              <w:rPr>
                <w:rFonts w:asciiTheme="majorHAnsi" w:hAnsiTheme="majorHAnsi"/>
              </w:rPr>
              <w:t>Withholding Tax</w:t>
            </w:r>
          </w:p>
        </w:tc>
        <w:tc>
          <w:tcPr>
            <w:tcW w:w="2985" w:type="dxa"/>
          </w:tcPr>
          <w:p w:rsidR="00CB3989" w:rsidRDefault="00CB3989" w:rsidP="00CB3989">
            <w:pPr>
              <w:jc w:val="center"/>
              <w:rPr>
                <w:rFonts w:asciiTheme="majorHAnsi" w:hAnsiTheme="majorHAnsi"/>
              </w:rPr>
            </w:pPr>
            <w:r>
              <w:rPr>
                <w:rFonts w:asciiTheme="majorHAnsi" w:hAnsiTheme="majorHAnsi"/>
              </w:rPr>
              <w:t>(248,888.89)</w:t>
            </w:r>
          </w:p>
        </w:tc>
        <w:tc>
          <w:tcPr>
            <w:tcW w:w="2883" w:type="dxa"/>
          </w:tcPr>
          <w:p w:rsidR="00CB3989" w:rsidRDefault="00CB3989" w:rsidP="00CB3989">
            <w:pPr>
              <w:jc w:val="center"/>
              <w:rPr>
                <w:rFonts w:asciiTheme="majorHAnsi" w:hAnsiTheme="majorHAnsi"/>
              </w:rPr>
            </w:pPr>
            <w:r>
              <w:rPr>
                <w:rFonts w:asciiTheme="majorHAnsi" w:hAnsiTheme="majorHAnsi"/>
              </w:rPr>
              <w:t>(248,888.89)</w:t>
            </w:r>
          </w:p>
        </w:tc>
      </w:tr>
      <w:tr w:rsidR="00CB3989" w:rsidTr="009C1EF4">
        <w:tc>
          <w:tcPr>
            <w:tcW w:w="8856" w:type="dxa"/>
            <w:gridSpan w:val="3"/>
          </w:tcPr>
          <w:p w:rsidR="00CB3989" w:rsidRDefault="00CB3989" w:rsidP="00CB3989">
            <w:pPr>
              <w:jc w:val="center"/>
              <w:rPr>
                <w:rFonts w:asciiTheme="majorHAnsi" w:hAnsiTheme="majorHAnsi"/>
              </w:rPr>
            </w:pPr>
          </w:p>
        </w:tc>
      </w:tr>
      <w:tr w:rsidR="00CB3989" w:rsidTr="0002269E">
        <w:tc>
          <w:tcPr>
            <w:tcW w:w="2988" w:type="dxa"/>
          </w:tcPr>
          <w:p w:rsidR="00CB3989" w:rsidRPr="00CB3989" w:rsidRDefault="00CB3989" w:rsidP="00CB3989">
            <w:pPr>
              <w:jc w:val="both"/>
              <w:rPr>
                <w:rFonts w:asciiTheme="majorHAnsi" w:hAnsiTheme="majorHAnsi"/>
                <w:b/>
              </w:rPr>
            </w:pPr>
            <w:r w:rsidRPr="00CB3989">
              <w:rPr>
                <w:rFonts w:asciiTheme="majorHAnsi" w:hAnsiTheme="majorHAnsi"/>
                <w:b/>
              </w:rPr>
              <w:t>Settlement Amount</w:t>
            </w:r>
          </w:p>
        </w:tc>
        <w:tc>
          <w:tcPr>
            <w:tcW w:w="2985" w:type="dxa"/>
          </w:tcPr>
          <w:p w:rsidR="00CB3989" w:rsidRPr="00CB3989" w:rsidRDefault="00CB3989" w:rsidP="00CB3989">
            <w:pPr>
              <w:jc w:val="center"/>
              <w:rPr>
                <w:rFonts w:asciiTheme="majorHAnsi" w:hAnsiTheme="majorHAnsi"/>
                <w:b/>
              </w:rPr>
            </w:pPr>
            <w:r w:rsidRPr="00CB3989">
              <w:rPr>
                <w:rFonts w:asciiTheme="majorHAnsi" w:hAnsiTheme="majorHAnsi"/>
                <w:b/>
              </w:rPr>
              <w:t>72,476,743.95</w:t>
            </w:r>
          </w:p>
        </w:tc>
        <w:tc>
          <w:tcPr>
            <w:tcW w:w="2883" w:type="dxa"/>
          </w:tcPr>
          <w:p w:rsidR="00CB3989" w:rsidRPr="00CB3989" w:rsidRDefault="00CB3989" w:rsidP="00CB3989">
            <w:pPr>
              <w:jc w:val="center"/>
              <w:rPr>
                <w:rFonts w:asciiTheme="majorHAnsi" w:hAnsiTheme="majorHAnsi"/>
                <w:b/>
              </w:rPr>
            </w:pPr>
            <w:r w:rsidRPr="00CB3989">
              <w:rPr>
                <w:rFonts w:asciiTheme="majorHAnsi" w:hAnsiTheme="majorHAnsi"/>
                <w:b/>
              </w:rPr>
              <w:t>72,476,743.95</w:t>
            </w:r>
          </w:p>
        </w:tc>
      </w:tr>
    </w:tbl>
    <w:p w:rsidR="0002269E" w:rsidRDefault="0002269E" w:rsidP="00273A22">
      <w:pPr>
        <w:spacing w:after="0" w:line="240" w:lineRule="auto"/>
        <w:ind w:left="720" w:hanging="720"/>
        <w:jc w:val="both"/>
        <w:rPr>
          <w:rFonts w:asciiTheme="majorHAnsi" w:hAnsiTheme="majorHAnsi"/>
        </w:rPr>
      </w:pPr>
    </w:p>
    <w:p w:rsidR="006471D1" w:rsidRDefault="006471D1" w:rsidP="006471D1">
      <w:pPr>
        <w:spacing w:after="0" w:line="240" w:lineRule="auto"/>
        <w:ind w:left="720" w:hanging="720"/>
        <w:jc w:val="both"/>
        <w:rPr>
          <w:rFonts w:asciiTheme="majorHAnsi" w:hAnsiTheme="majorHAnsi"/>
          <w:b/>
        </w:rPr>
      </w:pPr>
      <w:r w:rsidRPr="00C061CD">
        <w:rPr>
          <w:rFonts w:asciiTheme="majorHAnsi" w:hAnsiTheme="majorHAnsi"/>
          <w:b/>
        </w:rPr>
        <w:t>Q:</w:t>
      </w:r>
      <w:r w:rsidRPr="00C061CD">
        <w:rPr>
          <w:rFonts w:asciiTheme="majorHAnsi" w:hAnsiTheme="majorHAnsi"/>
          <w:b/>
        </w:rPr>
        <w:tab/>
      </w:r>
      <w:r>
        <w:rPr>
          <w:rFonts w:asciiTheme="majorHAnsi" w:hAnsiTheme="majorHAnsi"/>
          <w:b/>
        </w:rPr>
        <w:t xml:space="preserve">What type of fixed income securities will be affected by the SPC?  </w:t>
      </w:r>
    </w:p>
    <w:p w:rsidR="006471D1" w:rsidRDefault="006471D1" w:rsidP="006471D1">
      <w:pPr>
        <w:spacing w:after="0" w:line="240" w:lineRule="auto"/>
        <w:ind w:left="720" w:hanging="720"/>
        <w:jc w:val="both"/>
        <w:rPr>
          <w:rFonts w:asciiTheme="majorHAnsi" w:hAnsiTheme="majorHAnsi"/>
          <w:b/>
        </w:rPr>
      </w:pPr>
    </w:p>
    <w:p w:rsidR="006471D1" w:rsidRDefault="006471D1" w:rsidP="00273A22">
      <w:pPr>
        <w:spacing w:after="0" w:line="240" w:lineRule="auto"/>
        <w:ind w:left="720" w:hanging="720"/>
        <w:jc w:val="both"/>
        <w:rPr>
          <w:rFonts w:asciiTheme="majorHAnsi" w:hAnsiTheme="majorHAnsi"/>
        </w:rPr>
      </w:pPr>
      <w:r>
        <w:rPr>
          <w:rFonts w:asciiTheme="majorHAnsi" w:hAnsiTheme="majorHAnsi"/>
        </w:rPr>
        <w:t>A:</w:t>
      </w:r>
      <w:r>
        <w:rPr>
          <w:rFonts w:asciiTheme="majorHAnsi" w:hAnsiTheme="majorHAnsi"/>
        </w:rPr>
        <w:tab/>
        <w:t>The SPC applies only to coupon-bearing treasury and listed corporate bonds.  Treasury bills and other discounted</w:t>
      </w:r>
      <w:r w:rsidR="005D2A5A">
        <w:rPr>
          <w:rFonts w:asciiTheme="majorHAnsi" w:hAnsiTheme="majorHAnsi"/>
        </w:rPr>
        <w:t xml:space="preserve"> and</w:t>
      </w:r>
      <w:r>
        <w:rPr>
          <w:rFonts w:asciiTheme="majorHAnsi" w:hAnsiTheme="majorHAnsi"/>
        </w:rPr>
        <w:t xml:space="preserve"> non-coupon-bearing securities will not be affected.  </w:t>
      </w:r>
      <w:r w:rsidR="00320C41">
        <w:rPr>
          <w:rFonts w:asciiTheme="majorHAnsi" w:hAnsiTheme="majorHAnsi"/>
        </w:rPr>
        <w:t>Other securities like Tier 2 and LTNCDs have their own calculation structures and similarly will not be affected by the SPC.</w:t>
      </w:r>
    </w:p>
    <w:p w:rsidR="006471D1" w:rsidRDefault="006471D1" w:rsidP="00273A22">
      <w:pPr>
        <w:spacing w:after="0" w:line="240" w:lineRule="auto"/>
        <w:ind w:left="720" w:hanging="720"/>
        <w:jc w:val="both"/>
        <w:rPr>
          <w:rFonts w:asciiTheme="majorHAnsi" w:hAnsiTheme="majorHAnsi"/>
        </w:rPr>
      </w:pPr>
    </w:p>
    <w:p w:rsidR="00E12481" w:rsidRDefault="00E12481" w:rsidP="00E12481">
      <w:pPr>
        <w:spacing w:after="0" w:line="240" w:lineRule="auto"/>
        <w:ind w:left="720" w:hanging="720"/>
        <w:jc w:val="both"/>
        <w:rPr>
          <w:rFonts w:asciiTheme="majorHAnsi" w:hAnsiTheme="majorHAnsi"/>
          <w:b/>
        </w:rPr>
      </w:pPr>
      <w:r w:rsidRPr="00C061CD">
        <w:rPr>
          <w:rFonts w:asciiTheme="majorHAnsi" w:hAnsiTheme="majorHAnsi"/>
          <w:b/>
        </w:rPr>
        <w:t>Q:</w:t>
      </w:r>
      <w:r w:rsidRPr="00C061CD">
        <w:rPr>
          <w:rFonts w:asciiTheme="majorHAnsi" w:hAnsiTheme="majorHAnsi"/>
          <w:b/>
        </w:rPr>
        <w:tab/>
      </w:r>
      <w:r>
        <w:rPr>
          <w:rFonts w:asciiTheme="majorHAnsi" w:hAnsiTheme="majorHAnsi"/>
          <w:b/>
        </w:rPr>
        <w:t xml:space="preserve">Is there a change in the documentation when you buy or sell securities? </w:t>
      </w:r>
    </w:p>
    <w:p w:rsidR="00E12481" w:rsidRDefault="00E12481" w:rsidP="00E12481">
      <w:pPr>
        <w:spacing w:after="0" w:line="240" w:lineRule="auto"/>
        <w:ind w:left="720" w:hanging="720"/>
        <w:jc w:val="both"/>
        <w:rPr>
          <w:rFonts w:asciiTheme="majorHAnsi" w:hAnsiTheme="majorHAnsi"/>
          <w:b/>
        </w:rPr>
      </w:pPr>
    </w:p>
    <w:p w:rsidR="006471D1" w:rsidRDefault="00E12481" w:rsidP="00E12481">
      <w:pPr>
        <w:spacing w:after="0" w:line="240" w:lineRule="auto"/>
        <w:ind w:left="720" w:hanging="720"/>
        <w:jc w:val="both"/>
        <w:rPr>
          <w:rFonts w:asciiTheme="majorHAnsi" w:hAnsiTheme="majorHAnsi"/>
        </w:rPr>
      </w:pPr>
      <w:r>
        <w:rPr>
          <w:rFonts w:asciiTheme="majorHAnsi" w:hAnsiTheme="majorHAnsi"/>
        </w:rPr>
        <w:t>A:</w:t>
      </w:r>
      <w:r>
        <w:rPr>
          <w:rFonts w:asciiTheme="majorHAnsi" w:hAnsiTheme="majorHAnsi"/>
        </w:rPr>
        <w:tab/>
        <w:t xml:space="preserve">Yes, there are changes in the information available in the Confirmation </w:t>
      </w:r>
      <w:r w:rsidR="006471D1">
        <w:rPr>
          <w:rFonts w:asciiTheme="majorHAnsi" w:hAnsiTheme="majorHAnsi"/>
        </w:rPr>
        <w:t xml:space="preserve">of Settlement </w:t>
      </w:r>
      <w:r>
        <w:rPr>
          <w:rFonts w:asciiTheme="majorHAnsi" w:hAnsiTheme="majorHAnsi"/>
        </w:rPr>
        <w:t>as approved by the Securitie</w:t>
      </w:r>
      <w:r w:rsidR="0002269E">
        <w:rPr>
          <w:rFonts w:asciiTheme="majorHAnsi" w:hAnsiTheme="majorHAnsi"/>
        </w:rPr>
        <w:t>s and Exchange Commission under Resolution No. [</w:t>
      </w:r>
      <w:r w:rsidR="0002269E" w:rsidRPr="005C3675">
        <w:rPr>
          <w:rFonts w:asciiTheme="majorHAnsi" w:hAnsiTheme="majorHAnsi"/>
          <w:highlight w:val="yellow"/>
        </w:rPr>
        <w:sym w:font="Wingdings" w:char="F09F"/>
      </w:r>
      <w:r w:rsidR="0002269E">
        <w:rPr>
          <w:rFonts w:asciiTheme="majorHAnsi" w:hAnsiTheme="majorHAnsi"/>
        </w:rPr>
        <w:t>]</w:t>
      </w:r>
      <w:r w:rsidR="0002269E">
        <w:rPr>
          <w:rStyle w:val="FootnoteReference"/>
          <w:rFonts w:asciiTheme="majorHAnsi" w:hAnsiTheme="majorHAnsi"/>
        </w:rPr>
        <w:footnoteReference w:id="3"/>
      </w:r>
      <w:r w:rsidR="00CB3989">
        <w:rPr>
          <w:rFonts w:asciiTheme="majorHAnsi" w:hAnsiTheme="majorHAnsi"/>
        </w:rPr>
        <w:t>:  The written confirmat</w:t>
      </w:r>
      <w:r w:rsidR="006471D1">
        <w:rPr>
          <w:rFonts w:asciiTheme="majorHAnsi" w:hAnsiTheme="majorHAnsi"/>
        </w:rPr>
        <w:t xml:space="preserve">ion of settlement of the trade </w:t>
      </w:r>
      <w:r w:rsidR="00CB3989">
        <w:rPr>
          <w:rFonts w:asciiTheme="majorHAnsi" w:hAnsiTheme="majorHAnsi"/>
        </w:rPr>
        <w:t xml:space="preserve">shall contain, at the </w:t>
      </w:r>
      <w:r w:rsidR="00CB3989" w:rsidRPr="008D7FF6">
        <w:rPr>
          <w:rFonts w:asciiTheme="majorHAnsi" w:hAnsiTheme="majorHAnsi"/>
          <w:b/>
          <w:u w:val="single"/>
        </w:rPr>
        <w:t>minimum</w:t>
      </w:r>
      <w:r w:rsidR="00CB3989">
        <w:rPr>
          <w:rFonts w:asciiTheme="majorHAnsi" w:hAnsiTheme="majorHAnsi"/>
        </w:rPr>
        <w:t>, the following information</w:t>
      </w:r>
      <w:r w:rsidR="006471D1">
        <w:rPr>
          <w:rFonts w:asciiTheme="majorHAnsi" w:hAnsiTheme="majorHAnsi"/>
        </w:rPr>
        <w:t>:</w:t>
      </w:r>
    </w:p>
    <w:p w:rsidR="006471D1" w:rsidRDefault="006471D1" w:rsidP="006471D1">
      <w:pPr>
        <w:pStyle w:val="ListParagraph"/>
        <w:numPr>
          <w:ilvl w:val="0"/>
          <w:numId w:val="5"/>
        </w:numPr>
        <w:spacing w:after="0" w:line="240" w:lineRule="auto"/>
        <w:ind w:left="1260" w:hanging="540"/>
        <w:jc w:val="both"/>
        <w:rPr>
          <w:rFonts w:asciiTheme="majorHAnsi" w:hAnsiTheme="majorHAnsi"/>
        </w:rPr>
      </w:pPr>
      <w:r>
        <w:rPr>
          <w:rFonts w:asciiTheme="majorHAnsi" w:hAnsiTheme="majorHAnsi"/>
        </w:rPr>
        <w:t>Parties</w:t>
      </w:r>
    </w:p>
    <w:p w:rsidR="006471D1" w:rsidRDefault="006471D1" w:rsidP="006471D1">
      <w:pPr>
        <w:pStyle w:val="ListParagraph"/>
        <w:numPr>
          <w:ilvl w:val="0"/>
          <w:numId w:val="6"/>
        </w:numPr>
        <w:spacing w:after="0" w:line="240" w:lineRule="auto"/>
        <w:jc w:val="both"/>
        <w:rPr>
          <w:rFonts w:asciiTheme="majorHAnsi" w:hAnsiTheme="majorHAnsi"/>
        </w:rPr>
      </w:pPr>
      <w:r>
        <w:rPr>
          <w:rFonts w:asciiTheme="majorHAnsi" w:hAnsiTheme="majorHAnsi"/>
        </w:rPr>
        <w:t>Name &amp; contact information of Trading Participant</w:t>
      </w:r>
    </w:p>
    <w:p w:rsidR="006471D1" w:rsidRDefault="006471D1" w:rsidP="006471D1">
      <w:pPr>
        <w:pStyle w:val="ListParagraph"/>
        <w:numPr>
          <w:ilvl w:val="0"/>
          <w:numId w:val="6"/>
        </w:numPr>
        <w:spacing w:after="0" w:line="240" w:lineRule="auto"/>
        <w:jc w:val="both"/>
        <w:rPr>
          <w:rFonts w:asciiTheme="majorHAnsi" w:hAnsiTheme="majorHAnsi"/>
        </w:rPr>
      </w:pPr>
      <w:r>
        <w:rPr>
          <w:rFonts w:asciiTheme="majorHAnsi" w:hAnsiTheme="majorHAnsi"/>
        </w:rPr>
        <w:t>Account Name of Customer</w:t>
      </w:r>
    </w:p>
    <w:p w:rsidR="00E12481" w:rsidRDefault="0002269E" w:rsidP="006471D1">
      <w:pPr>
        <w:pStyle w:val="ListParagraph"/>
        <w:numPr>
          <w:ilvl w:val="0"/>
          <w:numId w:val="5"/>
        </w:numPr>
        <w:spacing w:after="0" w:line="240" w:lineRule="auto"/>
        <w:ind w:left="1260" w:hanging="540"/>
        <w:jc w:val="both"/>
        <w:rPr>
          <w:rFonts w:asciiTheme="majorHAnsi" w:hAnsiTheme="majorHAnsi"/>
        </w:rPr>
      </w:pPr>
      <w:r w:rsidRPr="006471D1">
        <w:rPr>
          <w:rFonts w:asciiTheme="majorHAnsi" w:hAnsiTheme="majorHAnsi"/>
        </w:rPr>
        <w:t xml:space="preserve"> </w:t>
      </w:r>
      <w:r w:rsidR="006471D1">
        <w:rPr>
          <w:rFonts w:asciiTheme="majorHAnsi" w:hAnsiTheme="majorHAnsi"/>
        </w:rPr>
        <w:t>Nature of Transaction – designation of whether the transaction was a purchase or sale for the Customer</w:t>
      </w:r>
    </w:p>
    <w:p w:rsidR="006471D1" w:rsidRDefault="006471D1" w:rsidP="006471D1">
      <w:pPr>
        <w:pStyle w:val="ListParagraph"/>
        <w:numPr>
          <w:ilvl w:val="0"/>
          <w:numId w:val="5"/>
        </w:numPr>
        <w:spacing w:after="0" w:line="240" w:lineRule="auto"/>
        <w:ind w:left="1260" w:hanging="540"/>
        <w:jc w:val="both"/>
        <w:rPr>
          <w:rFonts w:asciiTheme="majorHAnsi" w:hAnsiTheme="majorHAnsi"/>
        </w:rPr>
      </w:pPr>
      <w:r>
        <w:rPr>
          <w:rFonts w:asciiTheme="majorHAnsi" w:hAnsiTheme="majorHAnsi"/>
        </w:rPr>
        <w:t>Dates</w:t>
      </w:r>
    </w:p>
    <w:p w:rsidR="006471D1" w:rsidRDefault="006471D1" w:rsidP="006471D1">
      <w:pPr>
        <w:pStyle w:val="ListParagraph"/>
        <w:numPr>
          <w:ilvl w:val="0"/>
          <w:numId w:val="7"/>
        </w:numPr>
        <w:spacing w:after="0" w:line="240" w:lineRule="auto"/>
        <w:jc w:val="both"/>
        <w:rPr>
          <w:rFonts w:asciiTheme="majorHAnsi" w:hAnsiTheme="majorHAnsi"/>
        </w:rPr>
      </w:pPr>
      <w:r>
        <w:rPr>
          <w:rFonts w:asciiTheme="majorHAnsi" w:hAnsiTheme="majorHAnsi"/>
        </w:rPr>
        <w:t>Trade Date</w:t>
      </w:r>
    </w:p>
    <w:p w:rsidR="006471D1" w:rsidRPr="006471D1" w:rsidRDefault="006471D1" w:rsidP="006471D1">
      <w:pPr>
        <w:pStyle w:val="ListParagraph"/>
        <w:numPr>
          <w:ilvl w:val="0"/>
          <w:numId w:val="7"/>
        </w:numPr>
        <w:spacing w:after="0" w:line="240" w:lineRule="auto"/>
        <w:jc w:val="both"/>
        <w:rPr>
          <w:rFonts w:asciiTheme="majorHAnsi" w:hAnsiTheme="majorHAnsi"/>
        </w:rPr>
      </w:pPr>
      <w:r>
        <w:rPr>
          <w:rFonts w:asciiTheme="majorHAnsi" w:hAnsiTheme="majorHAnsi"/>
        </w:rPr>
        <w:t>Settlement Date</w:t>
      </w:r>
    </w:p>
    <w:p w:rsidR="006471D1" w:rsidRDefault="006471D1" w:rsidP="006471D1">
      <w:pPr>
        <w:pStyle w:val="ListParagraph"/>
        <w:numPr>
          <w:ilvl w:val="0"/>
          <w:numId w:val="5"/>
        </w:numPr>
        <w:spacing w:after="0" w:line="240" w:lineRule="auto"/>
        <w:ind w:left="1260" w:hanging="540"/>
        <w:jc w:val="both"/>
        <w:rPr>
          <w:rFonts w:asciiTheme="majorHAnsi" w:hAnsiTheme="majorHAnsi"/>
        </w:rPr>
      </w:pPr>
      <w:r>
        <w:rPr>
          <w:rFonts w:asciiTheme="majorHAnsi" w:hAnsiTheme="majorHAnsi"/>
        </w:rPr>
        <w:t>Description of the Security</w:t>
      </w:r>
    </w:p>
    <w:p w:rsidR="006471D1" w:rsidRDefault="006471D1" w:rsidP="006471D1">
      <w:pPr>
        <w:pStyle w:val="ListParagraph"/>
        <w:numPr>
          <w:ilvl w:val="0"/>
          <w:numId w:val="8"/>
        </w:numPr>
        <w:spacing w:after="0" w:line="240" w:lineRule="auto"/>
        <w:jc w:val="both"/>
        <w:rPr>
          <w:rFonts w:asciiTheme="majorHAnsi" w:hAnsiTheme="majorHAnsi"/>
        </w:rPr>
      </w:pPr>
      <w:r>
        <w:rPr>
          <w:rFonts w:asciiTheme="majorHAnsi" w:hAnsiTheme="majorHAnsi"/>
        </w:rPr>
        <w:t>Type of Security or Issuer or ISIN</w:t>
      </w:r>
    </w:p>
    <w:p w:rsidR="006471D1" w:rsidRDefault="006471D1" w:rsidP="006471D1">
      <w:pPr>
        <w:pStyle w:val="ListParagraph"/>
        <w:numPr>
          <w:ilvl w:val="0"/>
          <w:numId w:val="8"/>
        </w:numPr>
        <w:spacing w:after="0" w:line="240" w:lineRule="auto"/>
        <w:jc w:val="both"/>
        <w:rPr>
          <w:rFonts w:asciiTheme="majorHAnsi" w:hAnsiTheme="majorHAnsi"/>
        </w:rPr>
      </w:pPr>
      <w:r>
        <w:rPr>
          <w:rFonts w:asciiTheme="majorHAnsi" w:hAnsiTheme="majorHAnsi"/>
        </w:rPr>
        <w:t>Issue Date</w:t>
      </w:r>
    </w:p>
    <w:p w:rsidR="006471D1" w:rsidRDefault="006471D1" w:rsidP="006471D1">
      <w:pPr>
        <w:pStyle w:val="ListParagraph"/>
        <w:numPr>
          <w:ilvl w:val="0"/>
          <w:numId w:val="8"/>
        </w:numPr>
        <w:spacing w:after="0" w:line="240" w:lineRule="auto"/>
        <w:jc w:val="both"/>
        <w:rPr>
          <w:rFonts w:asciiTheme="majorHAnsi" w:hAnsiTheme="majorHAnsi"/>
        </w:rPr>
      </w:pPr>
      <w:r>
        <w:rPr>
          <w:rFonts w:asciiTheme="majorHAnsi" w:hAnsiTheme="majorHAnsi"/>
        </w:rPr>
        <w:t>Maturity Date</w:t>
      </w:r>
    </w:p>
    <w:p w:rsidR="006471D1" w:rsidRDefault="006471D1" w:rsidP="006471D1">
      <w:pPr>
        <w:pStyle w:val="ListParagraph"/>
        <w:numPr>
          <w:ilvl w:val="0"/>
          <w:numId w:val="8"/>
        </w:numPr>
        <w:spacing w:after="0" w:line="240" w:lineRule="auto"/>
        <w:jc w:val="both"/>
        <w:rPr>
          <w:rFonts w:asciiTheme="majorHAnsi" w:hAnsiTheme="majorHAnsi"/>
        </w:rPr>
      </w:pPr>
      <w:r>
        <w:rPr>
          <w:rFonts w:asciiTheme="majorHAnsi" w:hAnsiTheme="majorHAnsi"/>
        </w:rPr>
        <w:t>Coupon Rate</w:t>
      </w:r>
    </w:p>
    <w:p w:rsidR="006471D1" w:rsidRDefault="006471D1" w:rsidP="006471D1">
      <w:pPr>
        <w:pStyle w:val="ListParagraph"/>
        <w:numPr>
          <w:ilvl w:val="0"/>
          <w:numId w:val="5"/>
        </w:numPr>
        <w:spacing w:after="0" w:line="240" w:lineRule="auto"/>
        <w:ind w:left="1260" w:hanging="540"/>
        <w:jc w:val="both"/>
        <w:rPr>
          <w:rFonts w:asciiTheme="majorHAnsi" w:hAnsiTheme="majorHAnsi"/>
        </w:rPr>
      </w:pPr>
      <w:r>
        <w:rPr>
          <w:rFonts w:asciiTheme="majorHAnsi" w:hAnsiTheme="majorHAnsi"/>
        </w:rPr>
        <w:t>Breakdown of Amounts</w:t>
      </w:r>
    </w:p>
    <w:p w:rsidR="006471D1" w:rsidRDefault="006471D1" w:rsidP="006471D1">
      <w:pPr>
        <w:pStyle w:val="ListParagraph"/>
        <w:numPr>
          <w:ilvl w:val="0"/>
          <w:numId w:val="9"/>
        </w:numPr>
        <w:spacing w:after="0" w:line="240" w:lineRule="auto"/>
        <w:jc w:val="both"/>
        <w:rPr>
          <w:rFonts w:asciiTheme="majorHAnsi" w:hAnsiTheme="majorHAnsi"/>
        </w:rPr>
      </w:pPr>
      <w:r>
        <w:rPr>
          <w:rFonts w:asciiTheme="majorHAnsi" w:hAnsiTheme="majorHAnsi"/>
        </w:rPr>
        <w:t>Face value</w:t>
      </w:r>
    </w:p>
    <w:p w:rsidR="006471D1" w:rsidRDefault="006471D1" w:rsidP="006471D1">
      <w:pPr>
        <w:pStyle w:val="ListParagraph"/>
        <w:numPr>
          <w:ilvl w:val="0"/>
          <w:numId w:val="9"/>
        </w:numPr>
        <w:spacing w:after="0" w:line="240" w:lineRule="auto"/>
        <w:jc w:val="both"/>
        <w:rPr>
          <w:rFonts w:asciiTheme="majorHAnsi" w:hAnsiTheme="majorHAnsi"/>
        </w:rPr>
      </w:pPr>
      <w:r w:rsidRPr="006471D1">
        <w:rPr>
          <w:rFonts w:asciiTheme="majorHAnsi" w:hAnsiTheme="majorHAnsi"/>
        </w:rPr>
        <w:t xml:space="preserve">Nominal </w:t>
      </w:r>
      <w:r>
        <w:rPr>
          <w:rFonts w:asciiTheme="majorHAnsi" w:hAnsiTheme="majorHAnsi"/>
        </w:rPr>
        <w:t>y</w:t>
      </w:r>
      <w:r w:rsidRPr="006471D1">
        <w:rPr>
          <w:rFonts w:asciiTheme="majorHAnsi" w:hAnsiTheme="majorHAnsi"/>
        </w:rPr>
        <w:t>ield</w:t>
      </w:r>
      <w:r w:rsidR="008D7FF6">
        <w:rPr>
          <w:rStyle w:val="FootnoteReference"/>
          <w:rFonts w:asciiTheme="majorHAnsi" w:hAnsiTheme="majorHAnsi"/>
        </w:rPr>
        <w:footnoteReference w:id="4"/>
      </w:r>
      <w:r>
        <w:rPr>
          <w:rFonts w:asciiTheme="majorHAnsi" w:hAnsiTheme="majorHAnsi"/>
        </w:rPr>
        <w:t xml:space="preserve">, </w:t>
      </w:r>
      <w:r w:rsidRPr="008D7FF6">
        <w:rPr>
          <w:rFonts w:asciiTheme="majorHAnsi" w:hAnsiTheme="majorHAnsi"/>
          <w:i/>
        </w:rPr>
        <w:t>which shall be derived using the tax neutral GBF</w:t>
      </w:r>
    </w:p>
    <w:p w:rsidR="006471D1" w:rsidRDefault="006471D1" w:rsidP="006471D1">
      <w:pPr>
        <w:pStyle w:val="ListParagraph"/>
        <w:numPr>
          <w:ilvl w:val="0"/>
          <w:numId w:val="9"/>
        </w:numPr>
        <w:spacing w:after="0" w:line="240" w:lineRule="auto"/>
        <w:jc w:val="both"/>
        <w:rPr>
          <w:rFonts w:asciiTheme="majorHAnsi" w:hAnsiTheme="majorHAnsi"/>
        </w:rPr>
      </w:pPr>
      <w:r>
        <w:rPr>
          <w:rFonts w:asciiTheme="majorHAnsi" w:hAnsiTheme="majorHAnsi"/>
        </w:rPr>
        <w:t>Accrued interest</w:t>
      </w:r>
    </w:p>
    <w:p w:rsidR="006471D1" w:rsidRDefault="006471D1" w:rsidP="006471D1">
      <w:pPr>
        <w:pStyle w:val="ListParagraph"/>
        <w:numPr>
          <w:ilvl w:val="0"/>
          <w:numId w:val="9"/>
        </w:numPr>
        <w:spacing w:after="0" w:line="240" w:lineRule="auto"/>
        <w:jc w:val="both"/>
        <w:rPr>
          <w:rFonts w:asciiTheme="majorHAnsi" w:hAnsiTheme="majorHAnsi"/>
        </w:rPr>
      </w:pPr>
      <w:r>
        <w:rPr>
          <w:rFonts w:asciiTheme="majorHAnsi" w:hAnsiTheme="majorHAnsi"/>
        </w:rPr>
        <w:t>Final withholding tax on accrued interest</w:t>
      </w:r>
    </w:p>
    <w:p w:rsidR="006471D1" w:rsidRDefault="006471D1" w:rsidP="006471D1">
      <w:pPr>
        <w:pStyle w:val="ListParagraph"/>
        <w:numPr>
          <w:ilvl w:val="0"/>
          <w:numId w:val="9"/>
        </w:numPr>
        <w:spacing w:after="0" w:line="240" w:lineRule="auto"/>
        <w:jc w:val="both"/>
        <w:rPr>
          <w:rFonts w:asciiTheme="majorHAnsi" w:hAnsiTheme="majorHAnsi"/>
        </w:rPr>
      </w:pPr>
      <w:r>
        <w:rPr>
          <w:rFonts w:asciiTheme="majorHAnsi" w:hAnsiTheme="majorHAnsi"/>
        </w:rPr>
        <w:t>Unbundled transaction fees (broker’s fees, other charges to be paid or reimbursed to the broker)</w:t>
      </w:r>
    </w:p>
    <w:p w:rsidR="006471D1" w:rsidRPr="006471D1" w:rsidRDefault="006471D1" w:rsidP="006471D1">
      <w:pPr>
        <w:pStyle w:val="ListParagraph"/>
        <w:numPr>
          <w:ilvl w:val="0"/>
          <w:numId w:val="9"/>
        </w:numPr>
        <w:spacing w:after="0" w:line="240" w:lineRule="auto"/>
        <w:jc w:val="both"/>
        <w:rPr>
          <w:rFonts w:asciiTheme="majorHAnsi" w:hAnsiTheme="majorHAnsi"/>
        </w:rPr>
      </w:pPr>
      <w:r>
        <w:rPr>
          <w:rFonts w:asciiTheme="majorHAnsi" w:hAnsiTheme="majorHAnsi"/>
        </w:rPr>
        <w:t>Settlement amount</w:t>
      </w:r>
    </w:p>
    <w:p w:rsidR="006471D1" w:rsidRDefault="006471D1" w:rsidP="006471D1">
      <w:pPr>
        <w:pStyle w:val="ListParagraph"/>
        <w:numPr>
          <w:ilvl w:val="0"/>
          <w:numId w:val="5"/>
        </w:numPr>
        <w:spacing w:after="0" w:line="240" w:lineRule="auto"/>
        <w:ind w:left="1260" w:hanging="540"/>
        <w:jc w:val="both"/>
        <w:rPr>
          <w:rFonts w:asciiTheme="majorHAnsi" w:hAnsiTheme="majorHAnsi"/>
        </w:rPr>
      </w:pPr>
      <w:r>
        <w:rPr>
          <w:rFonts w:asciiTheme="majorHAnsi" w:hAnsiTheme="majorHAnsi"/>
        </w:rPr>
        <w:t>Cash or Securities Disposition</w:t>
      </w:r>
    </w:p>
    <w:p w:rsidR="006471D1" w:rsidRDefault="006471D1" w:rsidP="006471D1">
      <w:pPr>
        <w:pStyle w:val="ListParagraph"/>
        <w:numPr>
          <w:ilvl w:val="0"/>
          <w:numId w:val="5"/>
        </w:numPr>
        <w:spacing w:after="0" w:line="240" w:lineRule="auto"/>
        <w:ind w:left="1260" w:hanging="540"/>
        <w:jc w:val="both"/>
        <w:rPr>
          <w:rFonts w:asciiTheme="majorHAnsi" w:hAnsiTheme="majorHAnsi"/>
        </w:rPr>
      </w:pPr>
      <w:r>
        <w:rPr>
          <w:rFonts w:asciiTheme="majorHAnsi" w:hAnsiTheme="majorHAnsi"/>
        </w:rPr>
        <w:t xml:space="preserve">Such other information as may be required by the SEC or </w:t>
      </w:r>
      <w:proofErr w:type="spellStart"/>
      <w:r>
        <w:rPr>
          <w:rFonts w:asciiTheme="majorHAnsi" w:hAnsiTheme="majorHAnsi"/>
        </w:rPr>
        <w:t>PDEx</w:t>
      </w:r>
      <w:proofErr w:type="spellEnd"/>
      <w:r>
        <w:rPr>
          <w:rFonts w:asciiTheme="majorHAnsi" w:hAnsiTheme="majorHAnsi"/>
        </w:rPr>
        <w:t xml:space="preserve"> from time to time</w:t>
      </w:r>
    </w:p>
    <w:p w:rsidR="006471D1" w:rsidRDefault="006471D1" w:rsidP="00273A22">
      <w:pPr>
        <w:spacing w:after="0" w:line="240" w:lineRule="auto"/>
        <w:ind w:left="720" w:hanging="720"/>
        <w:jc w:val="both"/>
        <w:rPr>
          <w:rFonts w:asciiTheme="majorHAnsi" w:hAnsiTheme="majorHAnsi"/>
        </w:rPr>
      </w:pPr>
    </w:p>
    <w:p w:rsidR="008D7FF6" w:rsidRDefault="00E12481" w:rsidP="008D7FF6">
      <w:pPr>
        <w:spacing w:after="0" w:line="240" w:lineRule="auto"/>
        <w:ind w:left="720"/>
        <w:jc w:val="both"/>
        <w:rPr>
          <w:rFonts w:asciiTheme="majorHAnsi" w:hAnsiTheme="majorHAnsi"/>
        </w:rPr>
      </w:pPr>
      <w:r>
        <w:rPr>
          <w:rFonts w:asciiTheme="majorHAnsi" w:hAnsiTheme="majorHAnsi"/>
        </w:rPr>
        <w:t xml:space="preserve">The </w:t>
      </w:r>
      <w:r w:rsidR="006471D1">
        <w:rPr>
          <w:rFonts w:asciiTheme="majorHAnsi" w:hAnsiTheme="majorHAnsi"/>
        </w:rPr>
        <w:t xml:space="preserve">affirmation of execution issued by the Trading Participant to its Customer shall contain the same information as that in </w:t>
      </w:r>
      <w:r w:rsidR="008D7FF6">
        <w:rPr>
          <w:rFonts w:asciiTheme="majorHAnsi" w:hAnsiTheme="majorHAnsi"/>
        </w:rPr>
        <w:t>the Confirmation of Settlement.</w:t>
      </w:r>
    </w:p>
    <w:p w:rsidR="008D7FF6" w:rsidRDefault="008D7FF6" w:rsidP="00273A22">
      <w:pPr>
        <w:spacing w:after="0" w:line="240" w:lineRule="auto"/>
        <w:ind w:left="720" w:hanging="720"/>
        <w:jc w:val="both"/>
        <w:rPr>
          <w:rFonts w:asciiTheme="majorHAnsi" w:hAnsiTheme="majorHAnsi"/>
        </w:rPr>
      </w:pPr>
    </w:p>
    <w:p w:rsidR="00320C41" w:rsidRDefault="00273A22" w:rsidP="00320C41">
      <w:pPr>
        <w:spacing w:after="0" w:line="240" w:lineRule="auto"/>
        <w:ind w:left="720" w:hanging="720"/>
        <w:jc w:val="both"/>
        <w:rPr>
          <w:rFonts w:asciiTheme="majorHAnsi" w:hAnsiTheme="majorHAnsi"/>
          <w:b/>
        </w:rPr>
      </w:pPr>
      <w:r>
        <w:rPr>
          <w:rFonts w:asciiTheme="majorHAnsi" w:hAnsiTheme="majorHAnsi"/>
          <w:b/>
        </w:rPr>
        <w:t xml:space="preserve"> </w:t>
      </w:r>
      <w:r w:rsidR="00320C41" w:rsidRPr="00C061CD">
        <w:rPr>
          <w:rFonts w:asciiTheme="majorHAnsi" w:hAnsiTheme="majorHAnsi"/>
          <w:b/>
        </w:rPr>
        <w:t>Q:</w:t>
      </w:r>
      <w:r w:rsidR="00320C41" w:rsidRPr="00C061CD">
        <w:rPr>
          <w:rFonts w:asciiTheme="majorHAnsi" w:hAnsiTheme="majorHAnsi"/>
          <w:b/>
        </w:rPr>
        <w:tab/>
      </w:r>
      <w:r w:rsidR="00320C41">
        <w:rPr>
          <w:rFonts w:asciiTheme="majorHAnsi" w:hAnsiTheme="majorHAnsi"/>
          <w:b/>
        </w:rPr>
        <w:t xml:space="preserve">Can the investor ask for the equivalent price of the yield quoted to him?  </w:t>
      </w:r>
    </w:p>
    <w:p w:rsidR="00320C41" w:rsidRDefault="00320C41" w:rsidP="00320C41">
      <w:pPr>
        <w:spacing w:after="0" w:line="240" w:lineRule="auto"/>
        <w:ind w:left="720" w:hanging="720"/>
        <w:jc w:val="both"/>
        <w:rPr>
          <w:rFonts w:asciiTheme="majorHAnsi" w:hAnsiTheme="majorHAnsi"/>
          <w:b/>
        </w:rPr>
      </w:pPr>
    </w:p>
    <w:p w:rsidR="00320C41" w:rsidRPr="005C3675" w:rsidRDefault="00320C41" w:rsidP="00320C41">
      <w:pPr>
        <w:spacing w:after="0" w:line="240" w:lineRule="auto"/>
        <w:ind w:left="720" w:hanging="720"/>
        <w:jc w:val="both"/>
        <w:rPr>
          <w:rFonts w:asciiTheme="majorHAnsi" w:hAnsiTheme="majorHAnsi"/>
        </w:rPr>
      </w:pPr>
      <w:r>
        <w:rPr>
          <w:rFonts w:asciiTheme="majorHAnsi" w:hAnsiTheme="majorHAnsi"/>
        </w:rPr>
        <w:t>A:</w:t>
      </w:r>
      <w:r>
        <w:rPr>
          <w:rFonts w:asciiTheme="majorHAnsi" w:hAnsiTheme="majorHAnsi"/>
        </w:rPr>
        <w:tab/>
        <w:t xml:space="preserve">Yes, the broker or dealer will be able to provide the equivalent price of the yield quoted to the client. </w:t>
      </w:r>
    </w:p>
    <w:p w:rsidR="005C3675" w:rsidRDefault="005C3675" w:rsidP="00320C41">
      <w:pPr>
        <w:spacing w:after="0" w:line="240" w:lineRule="auto"/>
        <w:ind w:left="720" w:hanging="720"/>
        <w:jc w:val="both"/>
        <w:rPr>
          <w:rFonts w:asciiTheme="majorHAnsi" w:hAnsiTheme="majorHAnsi"/>
        </w:rPr>
      </w:pPr>
    </w:p>
    <w:p w:rsidR="00320C41" w:rsidRDefault="00320C41" w:rsidP="00320C41">
      <w:pPr>
        <w:spacing w:after="0" w:line="240" w:lineRule="auto"/>
        <w:ind w:left="720" w:hanging="720"/>
        <w:jc w:val="both"/>
        <w:rPr>
          <w:rFonts w:asciiTheme="majorHAnsi" w:hAnsiTheme="majorHAnsi"/>
          <w:b/>
        </w:rPr>
      </w:pPr>
      <w:r w:rsidRPr="00C061CD">
        <w:rPr>
          <w:rFonts w:asciiTheme="majorHAnsi" w:hAnsiTheme="majorHAnsi"/>
          <w:b/>
        </w:rPr>
        <w:t>Q:</w:t>
      </w:r>
      <w:r w:rsidRPr="00C061CD">
        <w:rPr>
          <w:rFonts w:asciiTheme="majorHAnsi" w:hAnsiTheme="majorHAnsi"/>
          <w:b/>
        </w:rPr>
        <w:tab/>
      </w:r>
      <w:r>
        <w:rPr>
          <w:rFonts w:asciiTheme="majorHAnsi" w:hAnsiTheme="majorHAnsi"/>
          <w:b/>
        </w:rPr>
        <w:t xml:space="preserve">Will there be any new fees involved in the adoption of the SPC?  </w:t>
      </w:r>
    </w:p>
    <w:p w:rsidR="00320C41" w:rsidRDefault="00320C41" w:rsidP="00320C41">
      <w:pPr>
        <w:spacing w:after="0" w:line="240" w:lineRule="auto"/>
        <w:ind w:left="720" w:hanging="720"/>
        <w:jc w:val="both"/>
        <w:rPr>
          <w:rFonts w:asciiTheme="majorHAnsi" w:hAnsiTheme="majorHAnsi"/>
        </w:rPr>
      </w:pPr>
    </w:p>
    <w:p w:rsidR="00320C41" w:rsidRPr="005C3675" w:rsidRDefault="00320C41" w:rsidP="00320C41">
      <w:pPr>
        <w:spacing w:after="0" w:line="240" w:lineRule="auto"/>
        <w:ind w:left="720" w:hanging="720"/>
        <w:jc w:val="both"/>
        <w:rPr>
          <w:rFonts w:asciiTheme="majorHAnsi" w:hAnsiTheme="majorHAnsi"/>
        </w:rPr>
      </w:pPr>
      <w:r>
        <w:rPr>
          <w:rFonts w:asciiTheme="majorHAnsi" w:hAnsiTheme="majorHAnsi"/>
        </w:rPr>
        <w:t>A:</w:t>
      </w:r>
      <w:r>
        <w:rPr>
          <w:rFonts w:asciiTheme="majorHAnsi" w:hAnsiTheme="majorHAnsi"/>
        </w:rPr>
        <w:tab/>
        <w:t xml:space="preserve">No, the application of the GBF in the SPC will not translate into any new fees being incurred by the investor.  The fees, however, are unbundled to show the broker’s fees, </w:t>
      </w:r>
      <w:proofErr w:type="spellStart"/>
      <w:r>
        <w:rPr>
          <w:rFonts w:asciiTheme="majorHAnsi" w:hAnsiTheme="majorHAnsi"/>
        </w:rPr>
        <w:t>PDEx</w:t>
      </w:r>
      <w:proofErr w:type="spellEnd"/>
      <w:r>
        <w:rPr>
          <w:rFonts w:asciiTheme="majorHAnsi" w:hAnsiTheme="majorHAnsi"/>
        </w:rPr>
        <w:t xml:space="preserve">/PDTC fees, whichever is applicable, and other charges.   </w:t>
      </w:r>
    </w:p>
    <w:sectPr w:rsidR="00320C41" w:rsidRPr="005C3675" w:rsidSect="00E26DB7">
      <w:footerReference w:type="default" r:id="rId9"/>
      <w:pgSz w:w="12240" w:h="15840" w:code="1"/>
      <w:pgMar w:top="1440" w:right="1440" w:bottom="172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5A" w:rsidRDefault="00853B5A" w:rsidP="00E12481">
      <w:pPr>
        <w:spacing w:after="0" w:line="240" w:lineRule="auto"/>
      </w:pPr>
      <w:r>
        <w:separator/>
      </w:r>
    </w:p>
  </w:endnote>
  <w:endnote w:type="continuationSeparator" w:id="0">
    <w:p w:rsidR="00853B5A" w:rsidRDefault="00853B5A" w:rsidP="00E1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E26DB7">
      <w:tc>
        <w:tcPr>
          <w:tcW w:w="4500" w:type="pct"/>
          <w:tcBorders>
            <w:top w:val="single" w:sz="4" w:space="0" w:color="000000" w:themeColor="text1"/>
          </w:tcBorders>
        </w:tcPr>
        <w:p w:rsidR="00E26DB7" w:rsidRPr="0017017C" w:rsidRDefault="00853B5A" w:rsidP="00E26DB7">
          <w:pPr>
            <w:pStyle w:val="Footer"/>
            <w:jc w:val="right"/>
            <w:rPr>
              <w:rFonts w:asciiTheme="majorHAnsi" w:hAnsiTheme="majorHAnsi"/>
              <w:b/>
            </w:rPr>
          </w:pPr>
          <w:sdt>
            <w:sdtPr>
              <w:rPr>
                <w:rFonts w:asciiTheme="majorHAnsi" w:hAnsiTheme="majorHAnsi"/>
                <w:b/>
              </w:rPr>
              <w:alias w:val="Company"/>
              <w:id w:val="75971759"/>
              <w:placeholder>
                <w:docPart w:val="F2051F0EC5CA4B1D9AB479A4CA7A037D"/>
              </w:placeholder>
              <w:dataBinding w:prefixMappings="xmlns:ns0='http://schemas.openxmlformats.org/officeDocument/2006/extended-properties'" w:xpath="/ns0:Properties[1]/ns0:Company[1]" w:storeItemID="{6668398D-A668-4E3E-A5EB-62B293D839F1}"/>
              <w:text/>
            </w:sdtPr>
            <w:sdtEndPr/>
            <w:sdtContent>
              <w:r w:rsidR="00E26DB7" w:rsidRPr="0017017C">
                <w:rPr>
                  <w:rFonts w:asciiTheme="majorHAnsi" w:hAnsiTheme="majorHAnsi"/>
                  <w:b/>
                </w:rPr>
                <w:t>NASBI</w:t>
              </w:r>
            </w:sdtContent>
          </w:sdt>
          <w:r w:rsidR="00E26DB7" w:rsidRPr="0017017C">
            <w:rPr>
              <w:rFonts w:asciiTheme="majorHAnsi" w:hAnsiTheme="majorHAnsi"/>
              <w:b/>
            </w:rPr>
            <w:t xml:space="preserve"> |Proposed </w:t>
          </w:r>
          <w:r w:rsidR="00A32395">
            <w:rPr>
              <w:rFonts w:asciiTheme="majorHAnsi" w:hAnsiTheme="majorHAnsi"/>
              <w:b/>
            </w:rPr>
            <w:t xml:space="preserve">Minimum </w:t>
          </w:r>
          <w:r w:rsidR="00E26DB7" w:rsidRPr="0017017C">
            <w:rPr>
              <w:rFonts w:asciiTheme="majorHAnsi" w:hAnsiTheme="majorHAnsi"/>
              <w:b/>
            </w:rPr>
            <w:t>FAQ on the Single Price Convention</w:t>
          </w:r>
        </w:p>
      </w:tc>
      <w:tc>
        <w:tcPr>
          <w:tcW w:w="500" w:type="pct"/>
          <w:tcBorders>
            <w:top w:val="single" w:sz="4" w:space="0" w:color="C0504D" w:themeColor="accent2"/>
          </w:tcBorders>
          <w:shd w:val="clear" w:color="auto" w:fill="943634" w:themeFill="accent2" w:themeFillShade="BF"/>
        </w:tcPr>
        <w:p w:rsidR="00E26DB7" w:rsidRPr="0017017C" w:rsidRDefault="00E81D2D">
          <w:pPr>
            <w:pStyle w:val="Header"/>
            <w:rPr>
              <w:rFonts w:asciiTheme="majorHAnsi" w:hAnsiTheme="majorHAnsi"/>
              <w:b/>
              <w:color w:val="FFFFFF" w:themeColor="background1"/>
            </w:rPr>
          </w:pPr>
          <w:r w:rsidRPr="0017017C">
            <w:rPr>
              <w:rFonts w:asciiTheme="majorHAnsi" w:hAnsiTheme="majorHAnsi"/>
              <w:b/>
            </w:rPr>
            <w:fldChar w:fldCharType="begin"/>
          </w:r>
          <w:r w:rsidR="00E26DB7" w:rsidRPr="0017017C">
            <w:rPr>
              <w:rFonts w:asciiTheme="majorHAnsi" w:hAnsiTheme="majorHAnsi"/>
              <w:b/>
            </w:rPr>
            <w:instrText xml:space="preserve"> PAGE   \* MERGEFORMAT </w:instrText>
          </w:r>
          <w:r w:rsidRPr="0017017C">
            <w:rPr>
              <w:rFonts w:asciiTheme="majorHAnsi" w:hAnsiTheme="majorHAnsi"/>
              <w:b/>
            </w:rPr>
            <w:fldChar w:fldCharType="separate"/>
          </w:r>
          <w:r w:rsidR="004E45E7" w:rsidRPr="004E45E7">
            <w:rPr>
              <w:rFonts w:asciiTheme="majorHAnsi" w:hAnsiTheme="majorHAnsi"/>
              <w:b/>
              <w:noProof/>
              <w:color w:val="FFFFFF" w:themeColor="background1"/>
            </w:rPr>
            <w:t>2</w:t>
          </w:r>
          <w:r w:rsidRPr="0017017C">
            <w:rPr>
              <w:rFonts w:asciiTheme="majorHAnsi" w:hAnsiTheme="majorHAnsi"/>
              <w:b/>
            </w:rPr>
            <w:fldChar w:fldCharType="end"/>
          </w:r>
        </w:p>
      </w:tc>
    </w:tr>
  </w:tbl>
  <w:p w:rsidR="00EE5A98" w:rsidRDefault="00EE5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5A" w:rsidRDefault="00853B5A" w:rsidP="00E12481">
      <w:pPr>
        <w:spacing w:after="0" w:line="240" w:lineRule="auto"/>
      </w:pPr>
      <w:r>
        <w:separator/>
      </w:r>
    </w:p>
  </w:footnote>
  <w:footnote w:type="continuationSeparator" w:id="0">
    <w:p w:rsidR="00853B5A" w:rsidRDefault="00853B5A" w:rsidP="00E12481">
      <w:pPr>
        <w:spacing w:after="0" w:line="240" w:lineRule="auto"/>
      </w:pPr>
      <w:r>
        <w:continuationSeparator/>
      </w:r>
    </w:p>
  </w:footnote>
  <w:footnote w:id="1">
    <w:p w:rsidR="005D2A5A" w:rsidRPr="00E12481" w:rsidRDefault="005D2A5A" w:rsidP="005D2A5A">
      <w:pPr>
        <w:pStyle w:val="FootnoteText"/>
        <w:rPr>
          <w:rFonts w:asciiTheme="majorHAnsi" w:hAnsiTheme="majorHAnsi"/>
        </w:rPr>
      </w:pPr>
      <w:r w:rsidRPr="00E12481">
        <w:rPr>
          <w:rStyle w:val="FootnoteReference"/>
          <w:rFonts w:asciiTheme="majorHAnsi" w:hAnsiTheme="majorHAnsi"/>
          <w:sz w:val="18"/>
        </w:rPr>
        <w:footnoteRef/>
      </w:r>
      <w:r w:rsidRPr="00E12481">
        <w:rPr>
          <w:rFonts w:asciiTheme="majorHAnsi" w:hAnsiTheme="majorHAnsi"/>
          <w:sz w:val="18"/>
        </w:rPr>
        <w:t xml:space="preserve">The </w:t>
      </w:r>
      <w:proofErr w:type="spellStart"/>
      <w:r w:rsidRPr="0002269E">
        <w:rPr>
          <w:rFonts w:asciiTheme="majorHAnsi" w:hAnsiTheme="majorHAnsi"/>
          <w:b/>
          <w:sz w:val="18"/>
        </w:rPr>
        <w:t>BTr</w:t>
      </w:r>
      <w:proofErr w:type="spellEnd"/>
      <w:r w:rsidRPr="0002269E">
        <w:rPr>
          <w:rFonts w:asciiTheme="majorHAnsi" w:hAnsiTheme="majorHAnsi"/>
          <w:b/>
          <w:sz w:val="18"/>
        </w:rPr>
        <w:t xml:space="preserve"> Memorandum dated October 29, 2013</w:t>
      </w:r>
      <w:r w:rsidRPr="00E12481">
        <w:rPr>
          <w:rFonts w:asciiTheme="majorHAnsi" w:hAnsiTheme="majorHAnsi"/>
          <w:sz w:val="18"/>
        </w:rPr>
        <w:t xml:space="preserve"> should be amended to rename YTM to Nominal Yield in the Global Bond Formula where the term ‘Nominal Yield’ was agreed during the Implementation Working Committee meeting held on October 29, 2013</w:t>
      </w:r>
    </w:p>
  </w:footnote>
  <w:footnote w:id="2">
    <w:p w:rsidR="00BB5EB2" w:rsidRPr="00BB5EB2" w:rsidRDefault="00BB5EB2">
      <w:pPr>
        <w:pStyle w:val="FootnoteText"/>
        <w:rPr>
          <w:rFonts w:asciiTheme="majorHAnsi" w:hAnsiTheme="majorHAnsi"/>
        </w:rPr>
      </w:pPr>
      <w:r w:rsidRPr="00BB5EB2">
        <w:rPr>
          <w:rStyle w:val="FootnoteReference"/>
          <w:rFonts w:asciiTheme="majorHAnsi" w:hAnsiTheme="majorHAnsi"/>
          <w:sz w:val="18"/>
        </w:rPr>
        <w:footnoteRef/>
      </w:r>
      <w:r w:rsidRPr="00BB5EB2">
        <w:rPr>
          <w:rFonts w:asciiTheme="majorHAnsi" w:hAnsiTheme="majorHAnsi"/>
          <w:sz w:val="18"/>
        </w:rPr>
        <w:t xml:space="preserve"> Option of the Broker Dealer to disclose to its client-investors</w:t>
      </w:r>
    </w:p>
  </w:footnote>
  <w:footnote w:id="3">
    <w:p w:rsidR="0002269E" w:rsidRPr="0002269E" w:rsidRDefault="0002269E" w:rsidP="0002269E">
      <w:pPr>
        <w:pStyle w:val="FootnoteText"/>
        <w:rPr>
          <w:rFonts w:asciiTheme="majorHAnsi" w:hAnsiTheme="majorHAnsi"/>
        </w:rPr>
      </w:pPr>
      <w:r w:rsidRPr="0002269E">
        <w:rPr>
          <w:rStyle w:val="FootnoteReference"/>
          <w:rFonts w:asciiTheme="majorHAnsi" w:hAnsiTheme="majorHAnsi"/>
          <w:sz w:val="18"/>
        </w:rPr>
        <w:footnoteRef/>
      </w:r>
      <w:r w:rsidRPr="0002269E">
        <w:rPr>
          <w:rFonts w:asciiTheme="majorHAnsi" w:hAnsiTheme="majorHAnsi"/>
          <w:sz w:val="18"/>
        </w:rPr>
        <w:t xml:space="preserve"> In a letter to the </w:t>
      </w:r>
      <w:proofErr w:type="spellStart"/>
      <w:r w:rsidRPr="0002269E">
        <w:rPr>
          <w:rFonts w:asciiTheme="majorHAnsi" w:hAnsiTheme="majorHAnsi"/>
          <w:b/>
          <w:sz w:val="18"/>
        </w:rPr>
        <w:t>PDEx</w:t>
      </w:r>
      <w:proofErr w:type="spellEnd"/>
      <w:r w:rsidRPr="0002269E">
        <w:rPr>
          <w:rFonts w:asciiTheme="majorHAnsi" w:hAnsiTheme="majorHAnsi"/>
          <w:b/>
          <w:sz w:val="18"/>
        </w:rPr>
        <w:t xml:space="preserve"> Trading Participants dated June 14, 2013</w:t>
      </w:r>
      <w:r w:rsidR="00132507">
        <w:rPr>
          <w:rFonts w:asciiTheme="majorHAnsi" w:hAnsiTheme="majorHAnsi"/>
          <w:b/>
          <w:sz w:val="18"/>
        </w:rPr>
        <w:t xml:space="preserve"> </w:t>
      </w:r>
      <w:r w:rsidR="00132507" w:rsidRPr="00132507">
        <w:rPr>
          <w:rFonts w:asciiTheme="majorHAnsi" w:hAnsiTheme="majorHAnsi"/>
          <w:i/>
          <w:sz w:val="18"/>
        </w:rPr>
        <w:t>(see Annex B)</w:t>
      </w:r>
      <w:r w:rsidRPr="0002269E">
        <w:rPr>
          <w:rFonts w:asciiTheme="majorHAnsi" w:hAnsiTheme="majorHAnsi"/>
          <w:sz w:val="18"/>
        </w:rPr>
        <w:t xml:space="preserve">, the PDS Group informed the Trading Participants that the changes in the Confirmation </w:t>
      </w:r>
      <w:r w:rsidR="005069B6">
        <w:rPr>
          <w:rFonts w:asciiTheme="majorHAnsi" w:hAnsiTheme="majorHAnsi"/>
          <w:sz w:val="18"/>
        </w:rPr>
        <w:t xml:space="preserve">of Settlement </w:t>
      </w:r>
      <w:r w:rsidRPr="0002269E">
        <w:rPr>
          <w:rFonts w:asciiTheme="majorHAnsi" w:hAnsiTheme="majorHAnsi"/>
          <w:sz w:val="18"/>
        </w:rPr>
        <w:t>was submitted to the SEC for approval as required under the Securities Regulation Code</w:t>
      </w:r>
    </w:p>
  </w:footnote>
  <w:footnote w:id="4">
    <w:p w:rsidR="008D7FF6" w:rsidRPr="00B12D80" w:rsidRDefault="008D7FF6">
      <w:pPr>
        <w:pStyle w:val="FootnoteText"/>
        <w:rPr>
          <w:rFonts w:asciiTheme="majorHAnsi" w:hAnsiTheme="majorHAnsi"/>
        </w:rPr>
      </w:pPr>
      <w:r w:rsidRPr="00B12D80">
        <w:rPr>
          <w:rStyle w:val="FootnoteReference"/>
          <w:rFonts w:asciiTheme="majorHAnsi" w:hAnsiTheme="majorHAnsi"/>
          <w:sz w:val="18"/>
        </w:rPr>
        <w:footnoteRef/>
      </w:r>
      <w:r w:rsidRPr="00B12D80">
        <w:rPr>
          <w:rFonts w:asciiTheme="majorHAnsi" w:hAnsiTheme="majorHAnsi"/>
          <w:sz w:val="18"/>
        </w:rPr>
        <w:t xml:space="preserve"> </w:t>
      </w:r>
      <w:r w:rsidRPr="006A1CCD">
        <w:rPr>
          <w:rFonts w:asciiTheme="majorHAnsi" w:hAnsiTheme="majorHAnsi"/>
          <w:i/>
          <w:sz w:val="18"/>
        </w:rPr>
        <w:t>Note to broker salesmen</w:t>
      </w:r>
      <w:r w:rsidR="00B12D80">
        <w:rPr>
          <w:rFonts w:asciiTheme="majorHAnsi" w:hAnsiTheme="majorHAnsi"/>
          <w:sz w:val="18"/>
        </w:rPr>
        <w:t>:  I</w:t>
      </w:r>
      <w:r w:rsidR="00B12D80" w:rsidRPr="00B12D80">
        <w:rPr>
          <w:rFonts w:asciiTheme="majorHAnsi" w:hAnsiTheme="majorHAnsi"/>
          <w:sz w:val="18"/>
        </w:rPr>
        <w:t xml:space="preserve">t shall be the option of the Broker Dealer to include the Reference Yield in the Confirmation of Settlement and other </w:t>
      </w:r>
      <w:r w:rsidR="00B12D80">
        <w:rPr>
          <w:rFonts w:asciiTheme="majorHAnsi" w:hAnsiTheme="majorHAnsi"/>
          <w:sz w:val="18"/>
        </w:rPr>
        <w:t xml:space="preserve">relevant </w:t>
      </w:r>
      <w:r w:rsidR="00B12D80" w:rsidRPr="00B12D80">
        <w:rPr>
          <w:rFonts w:asciiTheme="majorHAnsi" w:hAnsiTheme="majorHAnsi"/>
          <w:sz w:val="18"/>
        </w:rPr>
        <w:t>documents</w:t>
      </w:r>
      <w:r w:rsidR="00B12D80">
        <w:rPr>
          <w:rFonts w:asciiTheme="majorHAnsi" w:hAnsiTheme="majorHAnsi"/>
          <w:sz w:val="18"/>
        </w:rPr>
        <w:t>,</w:t>
      </w:r>
      <w:r w:rsidR="00B12D80" w:rsidRPr="00B12D80">
        <w:rPr>
          <w:rFonts w:asciiTheme="majorHAnsi" w:hAnsiTheme="majorHAnsi"/>
          <w:sz w:val="18"/>
        </w:rPr>
        <w:t xml:space="preserve"> as may be applicable i.e. </w:t>
      </w:r>
      <w:r w:rsidR="00B12D80">
        <w:rPr>
          <w:rFonts w:asciiTheme="majorHAnsi" w:hAnsiTheme="majorHAnsi"/>
          <w:sz w:val="18"/>
        </w:rPr>
        <w:t xml:space="preserve">if the clients/investors are </w:t>
      </w:r>
      <w:r w:rsidR="00B12D80" w:rsidRPr="00B12D80">
        <w:rPr>
          <w:rFonts w:asciiTheme="majorHAnsi" w:hAnsiTheme="majorHAnsi"/>
          <w:sz w:val="18"/>
        </w:rPr>
        <w:t>taxable</w:t>
      </w:r>
      <w:r w:rsidR="00B12D80">
        <w:rPr>
          <w:rFonts w:asciiTheme="majorHAnsi" w:hAnsiTheme="majorHAnsi"/>
          <w:sz w:val="18"/>
        </w:rPr>
        <w:t>.   In this event, the Confirmation of Settlement and other relevant documents will contain both the ‘Nominal Yield’ and the ‘Reference Yield’</w:t>
      </w:r>
      <w:r w:rsidR="00B12D80" w:rsidRPr="00B12D80">
        <w:rPr>
          <w:rFonts w:asciiTheme="majorHAnsi" w:hAnsiTheme="majorHAnsi"/>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DF5"/>
    <w:multiLevelType w:val="hybridMultilevel"/>
    <w:tmpl w:val="4DF65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2C29D8"/>
    <w:multiLevelType w:val="hybridMultilevel"/>
    <w:tmpl w:val="E38AE1F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E74239B"/>
    <w:multiLevelType w:val="hybridMultilevel"/>
    <w:tmpl w:val="32761FE4"/>
    <w:lvl w:ilvl="0" w:tplc="2A62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093FEF"/>
    <w:multiLevelType w:val="hybridMultilevel"/>
    <w:tmpl w:val="3FA64774"/>
    <w:lvl w:ilvl="0" w:tplc="61FEB6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A45455"/>
    <w:multiLevelType w:val="hybridMultilevel"/>
    <w:tmpl w:val="2DD0DB6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6974437D"/>
    <w:multiLevelType w:val="hybridMultilevel"/>
    <w:tmpl w:val="9F58A21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71230904"/>
    <w:multiLevelType w:val="hybridMultilevel"/>
    <w:tmpl w:val="BC744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8144D6"/>
    <w:multiLevelType w:val="hybridMultilevel"/>
    <w:tmpl w:val="FBD4853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7AAB580D"/>
    <w:multiLevelType w:val="hybridMultilevel"/>
    <w:tmpl w:val="591C06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75"/>
    <w:rsid w:val="00006A46"/>
    <w:rsid w:val="0002269E"/>
    <w:rsid w:val="000F696B"/>
    <w:rsid w:val="00132507"/>
    <w:rsid w:val="0017017C"/>
    <w:rsid w:val="00181BFF"/>
    <w:rsid w:val="001B4FA6"/>
    <w:rsid w:val="00273A22"/>
    <w:rsid w:val="002C3AD9"/>
    <w:rsid w:val="002F4413"/>
    <w:rsid w:val="00320C41"/>
    <w:rsid w:val="00392BFC"/>
    <w:rsid w:val="004614F5"/>
    <w:rsid w:val="004E45E7"/>
    <w:rsid w:val="005069B6"/>
    <w:rsid w:val="00514B4B"/>
    <w:rsid w:val="005262EF"/>
    <w:rsid w:val="00570B13"/>
    <w:rsid w:val="005C3675"/>
    <w:rsid w:val="005D2A5A"/>
    <w:rsid w:val="005D7FFC"/>
    <w:rsid w:val="00612C21"/>
    <w:rsid w:val="006471D1"/>
    <w:rsid w:val="006A1CCD"/>
    <w:rsid w:val="006F490C"/>
    <w:rsid w:val="00766D7D"/>
    <w:rsid w:val="007D7BB7"/>
    <w:rsid w:val="007E089E"/>
    <w:rsid w:val="00853B5A"/>
    <w:rsid w:val="00874C6E"/>
    <w:rsid w:val="0088469C"/>
    <w:rsid w:val="008D7FF6"/>
    <w:rsid w:val="00934634"/>
    <w:rsid w:val="00956D4C"/>
    <w:rsid w:val="009D3F04"/>
    <w:rsid w:val="00A32395"/>
    <w:rsid w:val="00AD11A3"/>
    <w:rsid w:val="00B12D80"/>
    <w:rsid w:val="00B1307D"/>
    <w:rsid w:val="00BB5EB2"/>
    <w:rsid w:val="00C04C0F"/>
    <w:rsid w:val="00C061CD"/>
    <w:rsid w:val="00CB3989"/>
    <w:rsid w:val="00D218D2"/>
    <w:rsid w:val="00D55A34"/>
    <w:rsid w:val="00E12481"/>
    <w:rsid w:val="00E26DB7"/>
    <w:rsid w:val="00E81D2D"/>
    <w:rsid w:val="00EE5A98"/>
    <w:rsid w:val="00F8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675"/>
    <w:pPr>
      <w:ind w:left="720"/>
      <w:contextualSpacing/>
    </w:pPr>
  </w:style>
  <w:style w:type="paragraph" w:styleId="FootnoteText">
    <w:name w:val="footnote text"/>
    <w:basedOn w:val="Normal"/>
    <w:link w:val="FootnoteTextChar"/>
    <w:uiPriority w:val="99"/>
    <w:semiHidden/>
    <w:unhideWhenUsed/>
    <w:rsid w:val="00E124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481"/>
    <w:rPr>
      <w:sz w:val="20"/>
      <w:szCs w:val="20"/>
    </w:rPr>
  </w:style>
  <w:style w:type="character" w:styleId="FootnoteReference">
    <w:name w:val="footnote reference"/>
    <w:basedOn w:val="DefaultParagraphFont"/>
    <w:uiPriority w:val="99"/>
    <w:semiHidden/>
    <w:unhideWhenUsed/>
    <w:rsid w:val="00E12481"/>
    <w:rPr>
      <w:vertAlign w:val="superscript"/>
    </w:rPr>
  </w:style>
  <w:style w:type="table" w:styleId="TableGrid">
    <w:name w:val="Table Grid"/>
    <w:basedOn w:val="TableNormal"/>
    <w:uiPriority w:val="59"/>
    <w:rsid w:val="00022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2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5A"/>
  </w:style>
  <w:style w:type="paragraph" w:styleId="Footer">
    <w:name w:val="footer"/>
    <w:basedOn w:val="Normal"/>
    <w:link w:val="FooterChar"/>
    <w:uiPriority w:val="99"/>
    <w:unhideWhenUsed/>
    <w:rsid w:val="005D2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5A"/>
  </w:style>
  <w:style w:type="paragraph" w:styleId="BalloonText">
    <w:name w:val="Balloon Text"/>
    <w:basedOn w:val="Normal"/>
    <w:link w:val="BalloonTextChar"/>
    <w:uiPriority w:val="99"/>
    <w:semiHidden/>
    <w:unhideWhenUsed/>
    <w:rsid w:val="004E4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675"/>
    <w:pPr>
      <w:ind w:left="720"/>
      <w:contextualSpacing/>
    </w:pPr>
  </w:style>
  <w:style w:type="paragraph" w:styleId="FootnoteText">
    <w:name w:val="footnote text"/>
    <w:basedOn w:val="Normal"/>
    <w:link w:val="FootnoteTextChar"/>
    <w:uiPriority w:val="99"/>
    <w:semiHidden/>
    <w:unhideWhenUsed/>
    <w:rsid w:val="00E124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481"/>
    <w:rPr>
      <w:sz w:val="20"/>
      <w:szCs w:val="20"/>
    </w:rPr>
  </w:style>
  <w:style w:type="character" w:styleId="FootnoteReference">
    <w:name w:val="footnote reference"/>
    <w:basedOn w:val="DefaultParagraphFont"/>
    <w:uiPriority w:val="99"/>
    <w:semiHidden/>
    <w:unhideWhenUsed/>
    <w:rsid w:val="00E12481"/>
    <w:rPr>
      <w:vertAlign w:val="superscript"/>
    </w:rPr>
  </w:style>
  <w:style w:type="table" w:styleId="TableGrid">
    <w:name w:val="Table Grid"/>
    <w:basedOn w:val="TableNormal"/>
    <w:uiPriority w:val="59"/>
    <w:rsid w:val="00022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2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5A"/>
  </w:style>
  <w:style w:type="paragraph" w:styleId="Footer">
    <w:name w:val="footer"/>
    <w:basedOn w:val="Normal"/>
    <w:link w:val="FooterChar"/>
    <w:uiPriority w:val="99"/>
    <w:unhideWhenUsed/>
    <w:rsid w:val="005D2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5A"/>
  </w:style>
  <w:style w:type="paragraph" w:styleId="BalloonText">
    <w:name w:val="Balloon Text"/>
    <w:basedOn w:val="Normal"/>
    <w:link w:val="BalloonTextChar"/>
    <w:uiPriority w:val="99"/>
    <w:semiHidden/>
    <w:unhideWhenUsed/>
    <w:rsid w:val="004E4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051F0EC5CA4B1D9AB479A4CA7A037D"/>
        <w:category>
          <w:name w:val="General"/>
          <w:gallery w:val="placeholder"/>
        </w:category>
        <w:types>
          <w:type w:val="bbPlcHdr"/>
        </w:types>
        <w:behaviors>
          <w:behavior w:val="content"/>
        </w:behaviors>
        <w:guid w:val="{3AE6DF3C-4863-4349-815C-146007D771AE}"/>
      </w:docPartPr>
      <w:docPartBody>
        <w:p w:rsidR="00440ABF" w:rsidRDefault="00804CBF" w:rsidP="00804CBF">
          <w:pPr>
            <w:pStyle w:val="F2051F0EC5CA4B1D9AB479A4CA7A037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04CBF"/>
    <w:rsid w:val="00071D48"/>
    <w:rsid w:val="00440ABF"/>
    <w:rsid w:val="00582C0D"/>
    <w:rsid w:val="00790FF5"/>
    <w:rsid w:val="00804CBF"/>
    <w:rsid w:val="00E40EA8"/>
    <w:rsid w:val="00E869E6"/>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51F0EC5CA4B1D9AB479A4CA7A037D">
    <w:name w:val="F2051F0EC5CA4B1D9AB479A4CA7A037D"/>
    <w:rsid w:val="00804C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64DF-2089-4870-A44A-93A76782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NASBI</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Chico, Jessica</cp:lastModifiedBy>
  <cp:revision>2</cp:revision>
  <dcterms:created xsi:type="dcterms:W3CDTF">2013-11-25T07:55:00Z</dcterms:created>
  <dcterms:modified xsi:type="dcterms:W3CDTF">2013-11-25T07:55:00Z</dcterms:modified>
</cp:coreProperties>
</file>